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EC1EB0">
      <w:pPr>
        <w:keepNext w:val="0"/>
        <w:keepLines w:val="0"/>
        <w:pageBreakBefore w:val="0"/>
        <w:kinsoku/>
        <w:overflowPunct/>
        <w:topLinePunct w:val="0"/>
        <w:bidi w:val="0"/>
        <w:snapToGrid/>
        <w:spacing w:line="600" w:lineRule="exact"/>
        <w:ind w:left="0" w:leftChars="0" w:firstLine="0" w:firstLineChars="0"/>
        <w:jc w:val="center"/>
        <w:textAlignment w:val="auto"/>
        <w:rPr>
          <w:rFonts w:hint="eastAsia" w:ascii="仿宋_GB2312" w:hAnsi="仿宋_GB2312" w:eastAsia="仿宋_GB2312" w:cs="仿宋_GB2312"/>
          <w:color w:val="auto"/>
          <w:sz w:val="44"/>
          <w:szCs w:val="32"/>
          <w:highlight w:val="none"/>
        </w:rPr>
      </w:pPr>
      <w:r>
        <w:rPr>
          <w:rFonts w:hint="eastAsia" w:ascii="仿宋_GB2312" w:hAnsi="仿宋_GB2312" w:eastAsia="仿宋_GB2312" w:cs="仿宋_GB2312"/>
          <w:color w:val="auto"/>
          <w:sz w:val="44"/>
          <w:szCs w:val="32"/>
          <w:highlight w:val="none"/>
        </w:rPr>
        <w:t>团体标准《糖料蔗规模种植高效高产全程</w:t>
      </w:r>
    </w:p>
    <w:p w14:paraId="595D9902">
      <w:pPr>
        <w:keepNext w:val="0"/>
        <w:keepLines w:val="0"/>
        <w:pageBreakBefore w:val="0"/>
        <w:kinsoku/>
        <w:overflowPunct/>
        <w:topLinePunct w:val="0"/>
        <w:bidi w:val="0"/>
        <w:snapToGrid/>
        <w:spacing w:line="600" w:lineRule="exact"/>
        <w:ind w:left="0" w:leftChars="0" w:firstLine="0" w:firstLineChars="0"/>
        <w:jc w:val="center"/>
        <w:textAlignment w:val="auto"/>
        <w:rPr>
          <w:rFonts w:hint="eastAsia" w:ascii="仿宋_GB2312" w:hAnsi="仿宋_GB2312" w:eastAsia="仿宋_GB2312" w:cs="仿宋_GB2312"/>
          <w:color w:val="auto"/>
          <w:sz w:val="44"/>
          <w:szCs w:val="32"/>
          <w:highlight w:val="none"/>
        </w:rPr>
      </w:pPr>
      <w:r>
        <w:rPr>
          <w:rFonts w:hint="eastAsia" w:ascii="仿宋_GB2312" w:hAnsi="仿宋_GB2312" w:eastAsia="仿宋_GB2312" w:cs="仿宋_GB2312"/>
          <w:color w:val="auto"/>
          <w:sz w:val="44"/>
          <w:szCs w:val="32"/>
          <w:highlight w:val="none"/>
        </w:rPr>
        <w:t>机械化生产技术规程》（征求意见稿）</w:t>
      </w:r>
    </w:p>
    <w:p w14:paraId="67EFCAD8">
      <w:pPr>
        <w:keepNext w:val="0"/>
        <w:keepLines w:val="0"/>
        <w:pageBreakBefore w:val="0"/>
        <w:kinsoku/>
        <w:overflowPunct/>
        <w:topLinePunct w:val="0"/>
        <w:bidi w:val="0"/>
        <w:snapToGrid/>
        <w:spacing w:line="600" w:lineRule="exact"/>
        <w:ind w:left="0" w:leftChars="0" w:firstLine="0" w:firstLineChars="0"/>
        <w:jc w:val="center"/>
        <w:textAlignment w:val="auto"/>
        <w:rPr>
          <w:rFonts w:hint="eastAsia" w:ascii="仿宋_GB2312" w:hAnsi="仿宋_GB2312" w:eastAsia="仿宋_GB2312" w:cs="仿宋_GB2312"/>
          <w:color w:val="auto"/>
          <w:sz w:val="44"/>
          <w:szCs w:val="32"/>
          <w:highlight w:val="none"/>
        </w:rPr>
      </w:pPr>
      <w:r>
        <w:rPr>
          <w:rFonts w:hint="eastAsia" w:ascii="仿宋_GB2312" w:hAnsi="仿宋_GB2312" w:eastAsia="仿宋_GB2312" w:cs="仿宋_GB2312"/>
          <w:color w:val="auto"/>
          <w:sz w:val="44"/>
          <w:szCs w:val="32"/>
          <w:highlight w:val="none"/>
        </w:rPr>
        <w:t>编制说明</w:t>
      </w:r>
    </w:p>
    <w:p w14:paraId="7545AED6">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仿宋_GB2312" w:eastAsia="仿宋_GB2312" w:cs="仿宋_GB2312"/>
          <w:color w:val="auto"/>
          <w:sz w:val="32"/>
          <w:szCs w:val="32"/>
          <w:highlight w:val="none"/>
        </w:rPr>
      </w:pPr>
    </w:p>
    <w:p w14:paraId="0D5136F0">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一、任务来源、起草单位、主要起草人</w:t>
      </w:r>
    </w:p>
    <w:p w14:paraId="7FB55DF0">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根据《广西标准化协会关于下达20</w:t>
      </w:r>
      <w:r>
        <w:rPr>
          <w:rFonts w:hint="eastAsia" w:ascii="仿宋_GB2312" w:hAnsi="仿宋_GB2312" w:eastAsia="仿宋_GB2312" w:cs="仿宋_GB2312"/>
          <w:color w:val="auto"/>
          <w:sz w:val="32"/>
          <w:szCs w:val="28"/>
          <w:highlight w:val="none"/>
          <w:lang w:val="en-US" w:eastAsia="zh-CN"/>
        </w:rPr>
        <w:t>25</w:t>
      </w:r>
      <w:r>
        <w:rPr>
          <w:rFonts w:hint="eastAsia" w:ascii="仿宋_GB2312" w:hAnsi="仿宋_GB2312" w:eastAsia="仿宋_GB2312" w:cs="仿宋_GB2312"/>
          <w:color w:val="auto"/>
          <w:sz w:val="32"/>
          <w:szCs w:val="28"/>
          <w:highlight w:val="none"/>
        </w:rPr>
        <w:t>年第四十</w:t>
      </w:r>
      <w:r>
        <w:rPr>
          <w:rFonts w:hint="eastAsia" w:ascii="仿宋_GB2312" w:hAnsi="仿宋_GB2312" w:eastAsia="仿宋_GB2312" w:cs="仿宋_GB2312"/>
          <w:color w:val="auto"/>
          <w:sz w:val="32"/>
          <w:szCs w:val="28"/>
          <w:highlight w:val="none"/>
          <w:lang w:val="en-US" w:eastAsia="zh-CN"/>
        </w:rPr>
        <w:t>三</w:t>
      </w:r>
      <w:r>
        <w:rPr>
          <w:rFonts w:hint="eastAsia" w:ascii="仿宋_GB2312" w:hAnsi="仿宋_GB2312" w:eastAsia="仿宋_GB2312" w:cs="仿宋_GB2312"/>
          <w:color w:val="auto"/>
          <w:sz w:val="32"/>
          <w:szCs w:val="28"/>
          <w:highlight w:val="none"/>
        </w:rPr>
        <w:t>批团体标准制修订项目计划的通知》（桂标协〔20</w:t>
      </w:r>
      <w:r>
        <w:rPr>
          <w:rFonts w:hint="eastAsia" w:ascii="仿宋_GB2312" w:hAnsi="仿宋_GB2312" w:eastAsia="仿宋_GB2312" w:cs="仿宋_GB2312"/>
          <w:color w:val="auto"/>
          <w:sz w:val="32"/>
          <w:szCs w:val="28"/>
          <w:highlight w:val="none"/>
          <w:lang w:val="en-US" w:eastAsia="zh-CN"/>
        </w:rPr>
        <w:t>25</w:t>
      </w:r>
      <w:r>
        <w:rPr>
          <w:rFonts w:hint="eastAsia" w:ascii="仿宋_GB2312" w:hAnsi="仿宋_GB2312" w:eastAsia="仿宋_GB2312" w:cs="仿宋_GB2312"/>
          <w:color w:val="auto"/>
          <w:sz w:val="32"/>
          <w:szCs w:val="28"/>
          <w:highlight w:val="none"/>
        </w:rPr>
        <w:t>〕</w:t>
      </w:r>
      <w:r>
        <w:rPr>
          <w:rFonts w:hint="eastAsia" w:ascii="仿宋_GB2312" w:hAnsi="仿宋_GB2312" w:eastAsia="仿宋_GB2312" w:cs="仿宋_GB2312"/>
          <w:color w:val="auto"/>
          <w:sz w:val="32"/>
          <w:szCs w:val="28"/>
          <w:highlight w:val="none"/>
          <w:lang w:val="en-US" w:eastAsia="zh-CN"/>
        </w:rPr>
        <w:t>396</w:t>
      </w:r>
      <w:r>
        <w:rPr>
          <w:rFonts w:hint="eastAsia" w:ascii="仿宋_GB2312" w:hAnsi="仿宋_GB2312" w:eastAsia="仿宋_GB2312" w:cs="仿宋_GB2312"/>
          <w:color w:val="auto"/>
          <w:sz w:val="32"/>
          <w:szCs w:val="28"/>
          <w:highlight w:val="none"/>
        </w:rPr>
        <w:t>号）文件精神，由广西壮族自治区农业科学院提出，广西壮族自治区农业科学院、云南英茂糖业(集团)有限公司、广西益兴现代农业科技发展有限公司、广西武宣县博盛农机专业合作社、广西沛雨农业发展有限公司等单位共同起草的团体标准《糖料蔗规模种植高效高产全程机械化生产技术规程》（项目编号：20</w:t>
      </w:r>
      <w:r>
        <w:rPr>
          <w:rFonts w:hint="eastAsia" w:ascii="仿宋_GB2312" w:hAnsi="仿宋_GB2312" w:eastAsia="仿宋_GB2312" w:cs="仿宋_GB2312"/>
          <w:color w:val="auto"/>
          <w:sz w:val="32"/>
          <w:szCs w:val="28"/>
          <w:highlight w:val="none"/>
          <w:lang w:val="en-US" w:eastAsia="zh-CN"/>
        </w:rPr>
        <w:t>25</w:t>
      </w:r>
      <w:r>
        <w:rPr>
          <w:rFonts w:hint="eastAsia" w:ascii="仿宋_GB2312" w:hAnsi="仿宋_GB2312" w:eastAsia="仿宋_GB2312" w:cs="仿宋_GB2312"/>
          <w:color w:val="auto"/>
          <w:sz w:val="32"/>
          <w:szCs w:val="28"/>
          <w:highlight w:val="none"/>
        </w:rPr>
        <w:t>-</w:t>
      </w:r>
      <w:r>
        <w:rPr>
          <w:rFonts w:hint="eastAsia" w:ascii="仿宋_GB2312" w:hAnsi="仿宋_GB2312" w:eastAsia="仿宋_GB2312" w:cs="仿宋_GB2312"/>
          <w:color w:val="auto"/>
          <w:sz w:val="32"/>
          <w:szCs w:val="28"/>
          <w:highlight w:val="none"/>
          <w:lang w:val="en-US" w:eastAsia="zh-CN"/>
        </w:rPr>
        <w:t>4315</w:t>
      </w:r>
      <w:r>
        <w:rPr>
          <w:rFonts w:hint="eastAsia" w:ascii="仿宋_GB2312" w:hAnsi="仿宋_GB2312" w:eastAsia="仿宋_GB2312" w:cs="仿宋_GB2312"/>
          <w:color w:val="auto"/>
          <w:sz w:val="32"/>
          <w:szCs w:val="28"/>
          <w:highlight w:val="none"/>
        </w:rPr>
        <w:t>）已获批立项。</w:t>
      </w:r>
    </w:p>
    <w:p w14:paraId="134AFA4C">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为高质量编制团体标准《糖料蔗规模种植高效高产全程机械化生产技术规程》，由起草单位成立标准编制工作组并进行如下分工：</w:t>
      </w:r>
    </w:p>
    <w:tbl>
      <w:tblPr>
        <w:tblStyle w:val="6"/>
        <w:tblW w:w="4996" w:type="pct"/>
        <w:tblInd w:w="0" w:type="dxa"/>
        <w:tblLayout w:type="autofit"/>
        <w:tblCellMar>
          <w:top w:w="0" w:type="dxa"/>
          <w:left w:w="108" w:type="dxa"/>
          <w:bottom w:w="0" w:type="dxa"/>
          <w:right w:w="108" w:type="dxa"/>
        </w:tblCellMar>
      </w:tblPr>
      <w:tblGrid>
        <w:gridCol w:w="981"/>
        <w:gridCol w:w="1212"/>
        <w:gridCol w:w="1186"/>
        <w:gridCol w:w="2367"/>
        <w:gridCol w:w="3421"/>
      </w:tblGrid>
      <w:tr w14:paraId="7809343D">
        <w:tblPrEx>
          <w:tblCellMar>
            <w:top w:w="0" w:type="dxa"/>
            <w:left w:w="108" w:type="dxa"/>
            <w:bottom w:w="0" w:type="dxa"/>
            <w:right w:w="108" w:type="dxa"/>
          </w:tblCellMar>
        </w:tblPrEx>
        <w:trPr>
          <w:cantSplit/>
          <w:trHeight w:val="578" w:hRule="atLeast"/>
          <w:tblHeader/>
        </w:trPr>
        <w:tc>
          <w:tcPr>
            <w:tcW w:w="535" w:type="pct"/>
            <w:tcBorders>
              <w:top w:val="single" w:color="auto" w:sz="4" w:space="0"/>
              <w:left w:val="single" w:color="auto" w:sz="4" w:space="0"/>
              <w:bottom w:val="single" w:color="auto" w:sz="4" w:space="0"/>
              <w:right w:val="single" w:color="auto" w:sz="4" w:space="0"/>
            </w:tcBorders>
            <w:vAlign w:val="center"/>
          </w:tcPr>
          <w:p w14:paraId="0E4EF4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rPr>
              <w:t>姓  名</w:t>
            </w:r>
          </w:p>
        </w:tc>
        <w:tc>
          <w:tcPr>
            <w:tcW w:w="661" w:type="pct"/>
            <w:tcBorders>
              <w:top w:val="single" w:color="auto" w:sz="4" w:space="0"/>
              <w:left w:val="single" w:color="auto" w:sz="4" w:space="0"/>
              <w:bottom w:val="single" w:color="auto" w:sz="4" w:space="0"/>
              <w:right w:val="single" w:color="auto" w:sz="4" w:space="0"/>
            </w:tcBorders>
            <w:vAlign w:val="center"/>
          </w:tcPr>
          <w:p w14:paraId="05FD9F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rPr>
              <w:t>职称/职位</w:t>
            </w:r>
          </w:p>
        </w:tc>
        <w:tc>
          <w:tcPr>
            <w:tcW w:w="647" w:type="pct"/>
            <w:tcBorders>
              <w:top w:val="single" w:color="auto" w:sz="4" w:space="0"/>
              <w:left w:val="single" w:color="auto" w:sz="4" w:space="0"/>
              <w:bottom w:val="single" w:color="auto" w:sz="4" w:space="0"/>
              <w:right w:val="single" w:color="auto" w:sz="4" w:space="0"/>
            </w:tcBorders>
            <w:vAlign w:val="center"/>
          </w:tcPr>
          <w:p w14:paraId="672F91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b/>
                <w:bCs/>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从事专业</w:t>
            </w:r>
          </w:p>
        </w:tc>
        <w:tc>
          <w:tcPr>
            <w:tcW w:w="1291" w:type="pct"/>
            <w:tcBorders>
              <w:top w:val="single" w:color="auto" w:sz="4" w:space="0"/>
              <w:left w:val="single" w:color="auto" w:sz="4" w:space="0"/>
              <w:bottom w:val="single" w:color="auto" w:sz="4" w:space="0"/>
              <w:right w:val="single" w:color="auto" w:sz="4" w:space="0"/>
            </w:tcBorders>
            <w:vAlign w:val="center"/>
          </w:tcPr>
          <w:p w14:paraId="6DE4B5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rPr>
              <w:t>工作单位</w:t>
            </w:r>
          </w:p>
        </w:tc>
        <w:tc>
          <w:tcPr>
            <w:tcW w:w="1865" w:type="pct"/>
            <w:tcBorders>
              <w:top w:val="single" w:color="auto" w:sz="4" w:space="0"/>
              <w:left w:val="single" w:color="auto" w:sz="4" w:space="0"/>
              <w:bottom w:val="single" w:color="auto" w:sz="4" w:space="0"/>
              <w:right w:val="single" w:color="auto" w:sz="4" w:space="0"/>
            </w:tcBorders>
            <w:vAlign w:val="center"/>
          </w:tcPr>
          <w:p w14:paraId="7A1E50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rPr>
              <w:t>主要负责工作</w:t>
            </w:r>
          </w:p>
        </w:tc>
      </w:tr>
      <w:tr w14:paraId="3BA7805A">
        <w:tblPrEx>
          <w:tblCellMar>
            <w:top w:w="0" w:type="dxa"/>
            <w:left w:w="108" w:type="dxa"/>
            <w:bottom w:w="0" w:type="dxa"/>
            <w:right w:w="108" w:type="dxa"/>
          </w:tblCellMar>
        </w:tblPrEx>
        <w:trPr>
          <w:cantSplit/>
          <w:trHeight w:val="732" w:hRule="atLeast"/>
        </w:trPr>
        <w:tc>
          <w:tcPr>
            <w:tcW w:w="535" w:type="pct"/>
            <w:tcBorders>
              <w:top w:val="single" w:color="auto" w:sz="4" w:space="0"/>
              <w:left w:val="single" w:color="auto" w:sz="4" w:space="0"/>
              <w:bottom w:val="single" w:color="auto" w:sz="4" w:space="0"/>
              <w:right w:val="single" w:color="008000" w:sz="4" w:space="0"/>
            </w:tcBorders>
            <w:vAlign w:val="center"/>
          </w:tcPr>
          <w:p w14:paraId="142608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王维赞</w:t>
            </w:r>
          </w:p>
        </w:tc>
        <w:tc>
          <w:tcPr>
            <w:tcW w:w="1212" w:type="dxa"/>
            <w:tcBorders>
              <w:top w:val="single" w:color="auto" w:sz="4" w:space="0"/>
              <w:left w:val="single" w:color="auto" w:sz="4" w:space="0"/>
              <w:bottom w:val="single" w:color="auto" w:sz="4" w:space="0"/>
              <w:right w:val="single" w:color="auto" w:sz="4" w:space="0"/>
            </w:tcBorders>
            <w:vAlign w:val="center"/>
          </w:tcPr>
          <w:p w14:paraId="12102A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研究员</w:t>
            </w:r>
          </w:p>
        </w:tc>
        <w:tc>
          <w:tcPr>
            <w:tcW w:w="1186" w:type="dxa"/>
            <w:tcBorders>
              <w:top w:val="single" w:color="000000" w:sz="2" w:space="0"/>
              <w:left w:val="single" w:color="auto" w:sz="4" w:space="0"/>
              <w:bottom w:val="single" w:color="auto" w:sz="4" w:space="0"/>
              <w:right w:val="single" w:color="auto" w:sz="4" w:space="0"/>
            </w:tcBorders>
            <w:vAlign w:val="center"/>
          </w:tcPr>
          <w:p w14:paraId="1129FF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甘蔗栽培</w:t>
            </w:r>
          </w:p>
        </w:tc>
        <w:tc>
          <w:tcPr>
            <w:tcW w:w="2367" w:type="dxa"/>
            <w:tcBorders>
              <w:top w:val="single" w:color="000000" w:sz="2" w:space="0"/>
              <w:left w:val="single" w:color="auto" w:sz="4" w:space="0"/>
              <w:bottom w:val="single" w:color="auto" w:sz="4" w:space="0"/>
              <w:right w:val="single" w:color="auto" w:sz="4" w:space="0"/>
            </w:tcBorders>
            <w:vAlign w:val="center"/>
          </w:tcPr>
          <w:p w14:paraId="44890C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广西壮族自治区农业科学院</w:t>
            </w:r>
          </w:p>
        </w:tc>
        <w:tc>
          <w:tcPr>
            <w:tcW w:w="1865" w:type="pct"/>
            <w:tcBorders>
              <w:top w:val="single" w:color="auto" w:sz="4" w:space="0"/>
              <w:left w:val="single" w:color="auto" w:sz="4" w:space="0"/>
              <w:bottom w:val="single" w:color="auto" w:sz="4" w:space="0"/>
              <w:right w:val="single" w:color="auto" w:sz="4" w:space="0"/>
            </w:tcBorders>
            <w:vAlign w:val="center"/>
          </w:tcPr>
          <w:p w14:paraId="133036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color w:val="auto"/>
                <w:sz w:val="24"/>
                <w:szCs w:val="24"/>
                <w:highlight w:val="none"/>
                <w:lang w:bidi="ar"/>
              </w:rPr>
            </w:pPr>
            <w:r>
              <w:rPr>
                <w:rFonts w:hint="eastAsia" w:ascii="仿宋_GB2312" w:hAnsi="仿宋_GB2312" w:eastAsia="仿宋_GB2312" w:cs="仿宋_GB2312"/>
                <w:color w:val="auto"/>
                <w:sz w:val="24"/>
                <w:szCs w:val="24"/>
                <w:highlight w:val="none"/>
                <w:lang w:bidi="ar"/>
              </w:rPr>
              <w:t>统筹主持标准编制工作</w:t>
            </w:r>
          </w:p>
        </w:tc>
      </w:tr>
      <w:tr w14:paraId="795455FB">
        <w:tblPrEx>
          <w:tblCellMar>
            <w:top w:w="0" w:type="dxa"/>
            <w:left w:w="108" w:type="dxa"/>
            <w:bottom w:w="0" w:type="dxa"/>
            <w:right w:w="108" w:type="dxa"/>
          </w:tblCellMar>
        </w:tblPrEx>
        <w:trPr>
          <w:cantSplit/>
          <w:trHeight w:val="517" w:hRule="atLeast"/>
        </w:trPr>
        <w:tc>
          <w:tcPr>
            <w:tcW w:w="535" w:type="pct"/>
            <w:tcBorders>
              <w:top w:val="single" w:color="auto" w:sz="4" w:space="0"/>
              <w:left w:val="single" w:color="auto" w:sz="4" w:space="0"/>
              <w:bottom w:val="single" w:color="auto" w:sz="4" w:space="0"/>
              <w:right w:val="single" w:color="008000" w:sz="4" w:space="0"/>
            </w:tcBorders>
            <w:vAlign w:val="center"/>
          </w:tcPr>
          <w:p w14:paraId="23F3CA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李毅杰</w:t>
            </w:r>
          </w:p>
        </w:tc>
        <w:tc>
          <w:tcPr>
            <w:tcW w:w="1212" w:type="dxa"/>
            <w:tcBorders>
              <w:top w:val="single" w:color="auto" w:sz="4" w:space="0"/>
              <w:left w:val="single" w:color="auto" w:sz="4" w:space="0"/>
              <w:bottom w:val="single" w:color="auto" w:sz="4" w:space="0"/>
              <w:right w:val="single" w:color="auto" w:sz="4" w:space="0"/>
            </w:tcBorders>
            <w:vAlign w:val="center"/>
          </w:tcPr>
          <w:p w14:paraId="5AB9AB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副研究员</w:t>
            </w:r>
          </w:p>
        </w:tc>
        <w:tc>
          <w:tcPr>
            <w:tcW w:w="1186" w:type="dxa"/>
            <w:tcBorders>
              <w:top w:val="single" w:color="000000" w:sz="2" w:space="0"/>
              <w:left w:val="single" w:color="auto" w:sz="4" w:space="0"/>
              <w:bottom w:val="single" w:color="auto" w:sz="4" w:space="0"/>
              <w:right w:val="single" w:color="auto" w:sz="4" w:space="0"/>
            </w:tcBorders>
            <w:vAlign w:val="center"/>
          </w:tcPr>
          <w:p w14:paraId="1FF99C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甘蔗栽培</w:t>
            </w:r>
          </w:p>
        </w:tc>
        <w:tc>
          <w:tcPr>
            <w:tcW w:w="2367" w:type="dxa"/>
            <w:tcBorders>
              <w:top w:val="single" w:color="000000" w:sz="2" w:space="0"/>
              <w:left w:val="single" w:color="auto" w:sz="4" w:space="0"/>
              <w:bottom w:val="single" w:color="auto" w:sz="4" w:space="0"/>
              <w:right w:val="single" w:color="auto" w:sz="4" w:space="0"/>
            </w:tcBorders>
            <w:vAlign w:val="center"/>
          </w:tcPr>
          <w:p w14:paraId="55CAE7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广西壮族自治区农业科学院</w:t>
            </w:r>
          </w:p>
        </w:tc>
        <w:tc>
          <w:tcPr>
            <w:tcW w:w="1865" w:type="pct"/>
            <w:tcBorders>
              <w:top w:val="single" w:color="auto" w:sz="4" w:space="0"/>
              <w:left w:val="single" w:color="auto" w:sz="4" w:space="0"/>
              <w:bottom w:val="single" w:color="auto" w:sz="4" w:space="0"/>
              <w:right w:val="single" w:color="auto" w:sz="4" w:space="0"/>
            </w:tcBorders>
            <w:vAlign w:val="center"/>
          </w:tcPr>
          <w:p w14:paraId="45F594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color w:val="auto"/>
                <w:sz w:val="24"/>
                <w:szCs w:val="24"/>
                <w:highlight w:val="none"/>
                <w:lang w:bidi="ar"/>
              </w:rPr>
            </w:pPr>
            <w:r>
              <w:rPr>
                <w:rFonts w:hint="eastAsia" w:ascii="仿宋_GB2312" w:hAnsi="仿宋_GB2312" w:eastAsia="仿宋_GB2312" w:cs="仿宋_GB2312"/>
                <w:color w:val="auto"/>
                <w:sz w:val="24"/>
                <w:szCs w:val="24"/>
                <w:highlight w:val="none"/>
                <w:lang w:bidi="ar"/>
              </w:rPr>
              <w:t>参与标准编制工作，组织人员进行标准发布后的宣贯培训。</w:t>
            </w:r>
          </w:p>
        </w:tc>
      </w:tr>
      <w:tr w14:paraId="4FE0338D">
        <w:tblPrEx>
          <w:tblCellMar>
            <w:top w:w="0" w:type="dxa"/>
            <w:left w:w="108" w:type="dxa"/>
            <w:bottom w:w="0" w:type="dxa"/>
            <w:right w:w="108" w:type="dxa"/>
          </w:tblCellMar>
        </w:tblPrEx>
        <w:trPr>
          <w:cantSplit/>
          <w:trHeight w:val="517" w:hRule="atLeast"/>
        </w:trPr>
        <w:tc>
          <w:tcPr>
            <w:tcW w:w="535" w:type="pct"/>
            <w:tcBorders>
              <w:top w:val="single" w:color="auto" w:sz="4" w:space="0"/>
              <w:left w:val="single" w:color="auto" w:sz="4" w:space="0"/>
              <w:bottom w:val="single" w:color="auto" w:sz="4" w:space="0"/>
              <w:right w:val="single" w:color="008000" w:sz="4" w:space="0"/>
            </w:tcBorders>
            <w:vAlign w:val="center"/>
          </w:tcPr>
          <w:p w14:paraId="337368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刘晓燕</w:t>
            </w:r>
          </w:p>
        </w:tc>
        <w:tc>
          <w:tcPr>
            <w:tcW w:w="1212" w:type="dxa"/>
            <w:tcBorders>
              <w:top w:val="single" w:color="auto" w:sz="4" w:space="0"/>
              <w:left w:val="single" w:color="auto" w:sz="4" w:space="0"/>
              <w:bottom w:val="single" w:color="auto" w:sz="4" w:space="0"/>
              <w:right w:val="single" w:color="auto" w:sz="4" w:space="0"/>
            </w:tcBorders>
            <w:vAlign w:val="center"/>
          </w:tcPr>
          <w:p w14:paraId="6D7A33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副研究员</w:t>
            </w:r>
          </w:p>
        </w:tc>
        <w:tc>
          <w:tcPr>
            <w:tcW w:w="1186" w:type="dxa"/>
            <w:tcBorders>
              <w:top w:val="single" w:color="000000" w:sz="2" w:space="0"/>
              <w:left w:val="single" w:color="auto" w:sz="4" w:space="0"/>
              <w:bottom w:val="single" w:color="auto" w:sz="4" w:space="0"/>
              <w:right w:val="single" w:color="auto" w:sz="4" w:space="0"/>
            </w:tcBorders>
            <w:vAlign w:val="center"/>
          </w:tcPr>
          <w:p w14:paraId="041D6D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甘蔗栽培</w:t>
            </w:r>
          </w:p>
        </w:tc>
        <w:tc>
          <w:tcPr>
            <w:tcW w:w="2367" w:type="dxa"/>
            <w:tcBorders>
              <w:top w:val="single" w:color="000000" w:sz="2" w:space="0"/>
              <w:left w:val="single" w:color="auto" w:sz="4" w:space="0"/>
              <w:bottom w:val="single" w:color="auto" w:sz="4" w:space="0"/>
              <w:right w:val="single" w:color="auto" w:sz="4" w:space="0"/>
            </w:tcBorders>
            <w:vAlign w:val="center"/>
          </w:tcPr>
          <w:p w14:paraId="5B5F59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广西壮族自治区农业科学院</w:t>
            </w:r>
          </w:p>
        </w:tc>
        <w:tc>
          <w:tcPr>
            <w:tcW w:w="1865" w:type="pct"/>
            <w:tcBorders>
              <w:top w:val="single" w:color="auto" w:sz="4" w:space="0"/>
              <w:left w:val="single" w:color="auto" w:sz="4" w:space="0"/>
              <w:bottom w:val="single" w:color="auto" w:sz="4" w:space="0"/>
              <w:right w:val="single" w:color="auto" w:sz="4" w:space="0"/>
            </w:tcBorders>
            <w:vAlign w:val="center"/>
          </w:tcPr>
          <w:p w14:paraId="77FA14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color w:val="auto"/>
                <w:sz w:val="24"/>
                <w:szCs w:val="24"/>
                <w:highlight w:val="none"/>
                <w:lang w:bidi="ar"/>
              </w:rPr>
            </w:pPr>
            <w:r>
              <w:rPr>
                <w:rFonts w:hint="eastAsia" w:ascii="仿宋_GB2312" w:hAnsi="仿宋_GB2312" w:eastAsia="仿宋_GB2312" w:cs="仿宋_GB2312"/>
                <w:color w:val="auto"/>
                <w:sz w:val="24"/>
                <w:szCs w:val="24"/>
                <w:highlight w:val="none"/>
                <w:lang w:bidi="ar"/>
              </w:rPr>
              <w:t>参与标准文本及编制说明编写，质量控制。</w:t>
            </w:r>
          </w:p>
        </w:tc>
      </w:tr>
      <w:tr w14:paraId="4DA2C65D">
        <w:tblPrEx>
          <w:tblCellMar>
            <w:top w:w="0" w:type="dxa"/>
            <w:left w:w="108" w:type="dxa"/>
            <w:bottom w:w="0" w:type="dxa"/>
            <w:right w:w="108" w:type="dxa"/>
          </w:tblCellMar>
        </w:tblPrEx>
        <w:trPr>
          <w:cantSplit/>
          <w:trHeight w:val="517" w:hRule="atLeast"/>
        </w:trPr>
        <w:tc>
          <w:tcPr>
            <w:tcW w:w="535" w:type="pct"/>
            <w:tcBorders>
              <w:top w:val="single" w:color="auto" w:sz="4" w:space="0"/>
              <w:left w:val="single" w:color="auto" w:sz="4" w:space="0"/>
              <w:bottom w:val="single" w:color="auto" w:sz="4" w:space="0"/>
              <w:right w:val="single" w:color="008000" w:sz="4" w:space="0"/>
            </w:tcBorders>
            <w:vAlign w:val="center"/>
          </w:tcPr>
          <w:p w14:paraId="672699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陆光艺</w:t>
            </w:r>
          </w:p>
        </w:tc>
        <w:tc>
          <w:tcPr>
            <w:tcW w:w="1212" w:type="dxa"/>
            <w:tcBorders>
              <w:top w:val="single" w:color="auto" w:sz="4" w:space="0"/>
              <w:left w:val="single" w:color="auto" w:sz="4" w:space="0"/>
              <w:bottom w:val="single" w:color="auto" w:sz="4" w:space="0"/>
              <w:right w:val="single" w:color="auto" w:sz="4" w:space="0"/>
            </w:tcBorders>
            <w:vAlign w:val="center"/>
          </w:tcPr>
          <w:p w14:paraId="4EE4C8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农艺师</w:t>
            </w:r>
          </w:p>
        </w:tc>
        <w:tc>
          <w:tcPr>
            <w:tcW w:w="1186" w:type="dxa"/>
            <w:tcBorders>
              <w:top w:val="single" w:color="000000" w:sz="2" w:space="0"/>
              <w:left w:val="single" w:color="auto" w:sz="4" w:space="0"/>
              <w:bottom w:val="single" w:color="auto" w:sz="4" w:space="0"/>
              <w:right w:val="single" w:color="auto" w:sz="4" w:space="0"/>
            </w:tcBorders>
            <w:vAlign w:val="center"/>
          </w:tcPr>
          <w:p w14:paraId="39F130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甘蔗生产</w:t>
            </w:r>
          </w:p>
        </w:tc>
        <w:tc>
          <w:tcPr>
            <w:tcW w:w="2367" w:type="dxa"/>
            <w:tcBorders>
              <w:top w:val="single" w:color="000000" w:sz="2" w:space="0"/>
              <w:left w:val="single" w:color="auto" w:sz="4" w:space="0"/>
              <w:bottom w:val="single" w:color="auto" w:sz="4" w:space="0"/>
              <w:right w:val="single" w:color="auto" w:sz="4" w:space="0"/>
            </w:tcBorders>
            <w:vAlign w:val="center"/>
          </w:tcPr>
          <w:p w14:paraId="2BA5A7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广西益兴现代农业科技发展有限公司</w:t>
            </w:r>
          </w:p>
        </w:tc>
        <w:tc>
          <w:tcPr>
            <w:tcW w:w="1865" w:type="pct"/>
            <w:tcBorders>
              <w:top w:val="single" w:color="auto" w:sz="4" w:space="0"/>
              <w:left w:val="single" w:color="auto" w:sz="4" w:space="0"/>
              <w:bottom w:val="single" w:color="auto" w:sz="4" w:space="0"/>
              <w:right w:val="single" w:color="auto" w:sz="4" w:space="0"/>
            </w:tcBorders>
            <w:vAlign w:val="center"/>
          </w:tcPr>
          <w:p w14:paraId="74ED45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color w:val="auto"/>
                <w:sz w:val="24"/>
                <w:szCs w:val="24"/>
                <w:highlight w:val="none"/>
                <w:lang w:bidi="ar"/>
              </w:rPr>
            </w:pPr>
            <w:r>
              <w:rPr>
                <w:rFonts w:hint="eastAsia" w:ascii="仿宋_GB2312" w:hAnsi="仿宋_GB2312" w:eastAsia="仿宋_GB2312" w:cs="仿宋_GB2312"/>
                <w:color w:val="auto"/>
                <w:sz w:val="24"/>
                <w:szCs w:val="24"/>
                <w:highlight w:val="none"/>
                <w:lang w:bidi="ar"/>
              </w:rPr>
              <w:t>参与标准文本及编制说明的编写；组织开展标准征求意见会；对标准实施情况进行总结分析，不断对标准提出修正意见。</w:t>
            </w:r>
          </w:p>
        </w:tc>
      </w:tr>
      <w:tr w14:paraId="425367DE">
        <w:tblPrEx>
          <w:tblCellMar>
            <w:top w:w="0" w:type="dxa"/>
            <w:left w:w="108" w:type="dxa"/>
            <w:bottom w:w="0" w:type="dxa"/>
            <w:right w:w="108" w:type="dxa"/>
          </w:tblCellMar>
        </w:tblPrEx>
        <w:trPr>
          <w:cantSplit/>
          <w:trHeight w:val="517" w:hRule="atLeast"/>
        </w:trPr>
        <w:tc>
          <w:tcPr>
            <w:tcW w:w="535" w:type="pct"/>
            <w:tcBorders>
              <w:top w:val="single" w:color="auto" w:sz="4" w:space="0"/>
              <w:left w:val="single" w:color="auto" w:sz="4" w:space="0"/>
              <w:bottom w:val="single" w:color="auto" w:sz="4" w:space="0"/>
              <w:right w:val="single" w:color="008000" w:sz="4" w:space="0"/>
            </w:tcBorders>
            <w:vAlign w:val="center"/>
          </w:tcPr>
          <w:p w14:paraId="78A0B4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彭武刚</w:t>
            </w:r>
          </w:p>
        </w:tc>
        <w:tc>
          <w:tcPr>
            <w:tcW w:w="1212" w:type="dxa"/>
            <w:tcBorders>
              <w:top w:val="single" w:color="auto" w:sz="4" w:space="0"/>
              <w:left w:val="single" w:color="auto" w:sz="4" w:space="0"/>
              <w:bottom w:val="single" w:color="auto" w:sz="4" w:space="0"/>
              <w:right w:val="single" w:color="auto" w:sz="4" w:space="0"/>
            </w:tcBorders>
            <w:vAlign w:val="center"/>
          </w:tcPr>
          <w:p w14:paraId="4832CC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原料部总经理</w:t>
            </w:r>
          </w:p>
        </w:tc>
        <w:tc>
          <w:tcPr>
            <w:tcW w:w="1186" w:type="dxa"/>
            <w:tcBorders>
              <w:top w:val="single" w:color="000000" w:sz="2" w:space="0"/>
              <w:left w:val="single" w:color="auto" w:sz="4" w:space="0"/>
              <w:bottom w:val="single" w:color="000000" w:sz="2" w:space="0"/>
              <w:right w:val="single" w:color="auto" w:sz="4" w:space="0"/>
            </w:tcBorders>
            <w:vAlign w:val="center"/>
          </w:tcPr>
          <w:p w14:paraId="5FDBA6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甘蔗生产</w:t>
            </w:r>
          </w:p>
        </w:tc>
        <w:tc>
          <w:tcPr>
            <w:tcW w:w="2367" w:type="dxa"/>
            <w:tcBorders>
              <w:top w:val="single" w:color="000000" w:sz="2" w:space="0"/>
              <w:left w:val="single" w:color="auto" w:sz="4" w:space="0"/>
              <w:bottom w:val="single" w:color="000000" w:sz="2" w:space="0"/>
              <w:right w:val="single" w:color="auto" w:sz="4" w:space="0"/>
            </w:tcBorders>
            <w:vAlign w:val="center"/>
          </w:tcPr>
          <w:p w14:paraId="39EE7A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云南英茂糖业（集团）有限公司</w:t>
            </w:r>
          </w:p>
        </w:tc>
        <w:tc>
          <w:tcPr>
            <w:tcW w:w="1865" w:type="pct"/>
            <w:tcBorders>
              <w:top w:val="single" w:color="auto" w:sz="4" w:space="0"/>
              <w:left w:val="single" w:color="auto" w:sz="4" w:space="0"/>
              <w:bottom w:val="single" w:color="auto" w:sz="4" w:space="0"/>
              <w:right w:val="single" w:color="auto" w:sz="4" w:space="0"/>
            </w:tcBorders>
            <w:vAlign w:val="center"/>
          </w:tcPr>
          <w:p w14:paraId="088DC8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color w:val="auto"/>
                <w:sz w:val="24"/>
                <w:szCs w:val="24"/>
                <w:highlight w:val="none"/>
                <w:lang w:bidi="ar"/>
              </w:rPr>
            </w:pPr>
            <w:r>
              <w:rPr>
                <w:rFonts w:hint="eastAsia" w:ascii="仿宋_GB2312" w:hAnsi="仿宋_GB2312" w:eastAsia="仿宋_GB2312" w:cs="仿宋_GB2312"/>
                <w:color w:val="auto"/>
                <w:sz w:val="24"/>
                <w:szCs w:val="24"/>
                <w:highlight w:val="none"/>
                <w:lang w:bidi="ar"/>
              </w:rPr>
              <w:t>参与标准文本及编制说明的编写；组织开展标准征求意见会；对标准实施情况进行总结分析，不断对标准提出修正意见。</w:t>
            </w:r>
          </w:p>
        </w:tc>
      </w:tr>
      <w:tr w14:paraId="01F58437">
        <w:tblPrEx>
          <w:tblCellMar>
            <w:top w:w="0" w:type="dxa"/>
            <w:left w:w="108" w:type="dxa"/>
            <w:bottom w:w="0" w:type="dxa"/>
            <w:right w:w="108" w:type="dxa"/>
          </w:tblCellMar>
        </w:tblPrEx>
        <w:trPr>
          <w:cantSplit/>
          <w:trHeight w:val="517" w:hRule="atLeast"/>
        </w:trPr>
        <w:tc>
          <w:tcPr>
            <w:tcW w:w="535" w:type="pct"/>
            <w:tcBorders>
              <w:top w:val="single" w:color="auto" w:sz="4" w:space="0"/>
              <w:left w:val="single" w:color="auto" w:sz="4" w:space="0"/>
              <w:bottom w:val="single" w:color="auto" w:sz="4" w:space="0"/>
              <w:right w:val="single" w:color="008000" w:sz="4" w:space="0"/>
            </w:tcBorders>
            <w:vAlign w:val="center"/>
          </w:tcPr>
          <w:p w14:paraId="01D3E7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韦锦然</w:t>
            </w:r>
          </w:p>
        </w:tc>
        <w:tc>
          <w:tcPr>
            <w:tcW w:w="1212" w:type="dxa"/>
            <w:tcBorders>
              <w:top w:val="single" w:color="auto" w:sz="4" w:space="0"/>
              <w:left w:val="single" w:color="auto" w:sz="4" w:space="0"/>
              <w:bottom w:val="single" w:color="auto" w:sz="4" w:space="0"/>
              <w:right w:val="single" w:color="auto" w:sz="4" w:space="0"/>
            </w:tcBorders>
            <w:vAlign w:val="center"/>
          </w:tcPr>
          <w:p w14:paraId="25540F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总经理</w:t>
            </w:r>
          </w:p>
        </w:tc>
        <w:tc>
          <w:tcPr>
            <w:tcW w:w="1186" w:type="dxa"/>
            <w:tcBorders>
              <w:top w:val="single" w:color="000000" w:sz="2" w:space="0"/>
              <w:left w:val="single" w:color="auto" w:sz="4" w:space="0"/>
              <w:bottom w:val="single" w:color="000000" w:sz="2" w:space="0"/>
              <w:right w:val="single" w:color="auto" w:sz="4" w:space="0"/>
            </w:tcBorders>
            <w:vAlign w:val="center"/>
          </w:tcPr>
          <w:p w14:paraId="3B16BC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甘蔗生产</w:t>
            </w:r>
          </w:p>
        </w:tc>
        <w:tc>
          <w:tcPr>
            <w:tcW w:w="2367" w:type="dxa"/>
            <w:tcBorders>
              <w:top w:val="single" w:color="000000" w:sz="2" w:space="0"/>
              <w:left w:val="single" w:color="auto" w:sz="4" w:space="0"/>
              <w:bottom w:val="single" w:color="000000" w:sz="2" w:space="0"/>
              <w:right w:val="single" w:color="auto" w:sz="4" w:space="0"/>
            </w:tcBorders>
            <w:vAlign w:val="center"/>
          </w:tcPr>
          <w:p w14:paraId="208540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广西沛雨种业科技有限公司/广西沛雨农业发展有限公司</w:t>
            </w:r>
          </w:p>
        </w:tc>
        <w:tc>
          <w:tcPr>
            <w:tcW w:w="1865" w:type="pct"/>
            <w:tcBorders>
              <w:top w:val="single" w:color="auto" w:sz="4" w:space="0"/>
              <w:left w:val="single" w:color="auto" w:sz="4" w:space="0"/>
              <w:bottom w:val="single" w:color="auto" w:sz="4" w:space="0"/>
              <w:right w:val="single" w:color="auto" w:sz="4" w:space="0"/>
            </w:tcBorders>
            <w:vAlign w:val="center"/>
          </w:tcPr>
          <w:p w14:paraId="0C6385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color w:val="auto"/>
                <w:sz w:val="24"/>
                <w:szCs w:val="24"/>
                <w:highlight w:val="none"/>
                <w:lang w:bidi="ar"/>
              </w:rPr>
            </w:pPr>
            <w:r>
              <w:rPr>
                <w:rFonts w:hint="eastAsia" w:ascii="仿宋_GB2312" w:hAnsi="仿宋_GB2312" w:eastAsia="仿宋_GB2312" w:cs="仿宋_GB2312"/>
                <w:color w:val="auto"/>
                <w:sz w:val="24"/>
                <w:szCs w:val="24"/>
                <w:highlight w:val="none"/>
                <w:lang w:bidi="ar"/>
              </w:rPr>
              <w:t>参与标准文本及编制说明的编写；组织开展标准征求意见会；对标准实施情况进行总结分析，不断对标准提出修正意见。</w:t>
            </w:r>
          </w:p>
        </w:tc>
      </w:tr>
      <w:tr w14:paraId="7A860282">
        <w:tblPrEx>
          <w:tblCellMar>
            <w:top w:w="0" w:type="dxa"/>
            <w:left w:w="108" w:type="dxa"/>
            <w:bottom w:w="0" w:type="dxa"/>
            <w:right w:w="108" w:type="dxa"/>
          </w:tblCellMar>
        </w:tblPrEx>
        <w:trPr>
          <w:cantSplit/>
          <w:trHeight w:val="517" w:hRule="atLeast"/>
        </w:trPr>
        <w:tc>
          <w:tcPr>
            <w:tcW w:w="535" w:type="pct"/>
            <w:tcBorders>
              <w:top w:val="single" w:color="auto" w:sz="4" w:space="0"/>
              <w:left w:val="single" w:color="auto" w:sz="4" w:space="0"/>
              <w:bottom w:val="single" w:color="auto" w:sz="4" w:space="0"/>
              <w:right w:val="single" w:color="008000" w:sz="4" w:space="0"/>
            </w:tcBorders>
            <w:vAlign w:val="center"/>
          </w:tcPr>
          <w:p w14:paraId="72D166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卢腾福</w:t>
            </w:r>
          </w:p>
        </w:tc>
        <w:tc>
          <w:tcPr>
            <w:tcW w:w="1212" w:type="dxa"/>
            <w:tcBorders>
              <w:top w:val="single" w:color="auto" w:sz="4" w:space="0"/>
              <w:left w:val="single" w:color="auto" w:sz="4" w:space="0"/>
              <w:bottom w:val="single" w:color="auto" w:sz="4" w:space="0"/>
              <w:right w:val="single" w:color="auto" w:sz="4" w:space="0"/>
            </w:tcBorders>
            <w:vAlign w:val="center"/>
          </w:tcPr>
          <w:p w14:paraId="70DEAC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经理</w:t>
            </w:r>
          </w:p>
        </w:tc>
        <w:tc>
          <w:tcPr>
            <w:tcW w:w="1186" w:type="dxa"/>
            <w:tcBorders>
              <w:top w:val="single" w:color="000000" w:sz="2" w:space="0"/>
              <w:left w:val="single" w:color="auto" w:sz="4" w:space="0"/>
              <w:bottom w:val="single" w:color="000000" w:sz="2" w:space="0"/>
              <w:right w:val="single" w:color="auto" w:sz="4" w:space="0"/>
            </w:tcBorders>
            <w:vAlign w:val="center"/>
          </w:tcPr>
          <w:p w14:paraId="339E6C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甘蔗生产</w:t>
            </w:r>
          </w:p>
        </w:tc>
        <w:tc>
          <w:tcPr>
            <w:tcW w:w="2367" w:type="dxa"/>
            <w:tcBorders>
              <w:top w:val="single" w:color="000000" w:sz="2" w:space="0"/>
              <w:left w:val="single" w:color="auto" w:sz="4" w:space="0"/>
              <w:bottom w:val="single" w:color="000000" w:sz="2" w:space="0"/>
              <w:right w:val="single" w:color="auto" w:sz="4" w:space="0"/>
            </w:tcBorders>
            <w:vAlign w:val="center"/>
          </w:tcPr>
          <w:p w14:paraId="2007BA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广西沛雨种业科技有限公司/广西沛雨农业发展有限公司</w:t>
            </w:r>
          </w:p>
        </w:tc>
        <w:tc>
          <w:tcPr>
            <w:tcW w:w="1865" w:type="pct"/>
            <w:tcBorders>
              <w:top w:val="single" w:color="auto" w:sz="4" w:space="0"/>
              <w:left w:val="single" w:color="auto" w:sz="4" w:space="0"/>
              <w:bottom w:val="single" w:color="auto" w:sz="4" w:space="0"/>
              <w:right w:val="single" w:color="auto" w:sz="4" w:space="0"/>
            </w:tcBorders>
            <w:vAlign w:val="center"/>
          </w:tcPr>
          <w:p w14:paraId="20CC1E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color w:val="auto"/>
                <w:sz w:val="24"/>
                <w:szCs w:val="24"/>
                <w:highlight w:val="none"/>
                <w:lang w:bidi="ar"/>
              </w:rPr>
            </w:pPr>
            <w:r>
              <w:rPr>
                <w:rFonts w:hint="eastAsia" w:ascii="仿宋_GB2312" w:hAnsi="仿宋_GB2312" w:eastAsia="仿宋_GB2312" w:cs="仿宋_GB2312"/>
                <w:color w:val="auto"/>
                <w:sz w:val="24"/>
                <w:szCs w:val="24"/>
                <w:highlight w:val="none"/>
                <w:lang w:bidi="ar"/>
              </w:rPr>
              <w:t>参与标准文本及编制说明的编写；组织开展标准征求意见会；对标准实施情况进行总结分析，不断对标准提出修正意见。</w:t>
            </w:r>
          </w:p>
        </w:tc>
      </w:tr>
      <w:tr w14:paraId="6192838E">
        <w:tblPrEx>
          <w:tblCellMar>
            <w:top w:w="0" w:type="dxa"/>
            <w:left w:w="108" w:type="dxa"/>
            <w:bottom w:w="0" w:type="dxa"/>
            <w:right w:w="108" w:type="dxa"/>
          </w:tblCellMar>
        </w:tblPrEx>
        <w:trPr>
          <w:cantSplit/>
          <w:trHeight w:val="517" w:hRule="atLeast"/>
        </w:trPr>
        <w:tc>
          <w:tcPr>
            <w:tcW w:w="535" w:type="pct"/>
            <w:tcBorders>
              <w:top w:val="single" w:color="auto" w:sz="4" w:space="0"/>
              <w:left w:val="single" w:color="auto" w:sz="4" w:space="0"/>
              <w:bottom w:val="single" w:color="auto" w:sz="4" w:space="0"/>
              <w:right w:val="single" w:color="008000" w:sz="4" w:space="0"/>
            </w:tcBorders>
            <w:vAlign w:val="center"/>
          </w:tcPr>
          <w:p w14:paraId="199CC6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武启惠</w:t>
            </w:r>
          </w:p>
        </w:tc>
        <w:tc>
          <w:tcPr>
            <w:tcW w:w="1212" w:type="dxa"/>
            <w:tcBorders>
              <w:top w:val="single" w:color="auto" w:sz="4" w:space="0"/>
              <w:left w:val="single" w:color="auto" w:sz="4" w:space="0"/>
              <w:bottom w:val="single" w:color="auto" w:sz="4" w:space="0"/>
              <w:right w:val="single" w:color="auto" w:sz="4" w:space="0"/>
            </w:tcBorders>
            <w:vAlign w:val="center"/>
          </w:tcPr>
          <w:p w14:paraId="1FABC6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理事长</w:t>
            </w:r>
          </w:p>
        </w:tc>
        <w:tc>
          <w:tcPr>
            <w:tcW w:w="1186" w:type="dxa"/>
            <w:tcBorders>
              <w:top w:val="single" w:color="000000" w:sz="2" w:space="0"/>
              <w:left w:val="single" w:color="auto" w:sz="4" w:space="0"/>
              <w:bottom w:val="single" w:color="000000" w:sz="2" w:space="0"/>
              <w:right w:val="single" w:color="auto" w:sz="4" w:space="0"/>
            </w:tcBorders>
            <w:vAlign w:val="center"/>
          </w:tcPr>
          <w:p w14:paraId="3DC535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甘蔗生产</w:t>
            </w:r>
          </w:p>
        </w:tc>
        <w:tc>
          <w:tcPr>
            <w:tcW w:w="2367" w:type="dxa"/>
            <w:tcBorders>
              <w:top w:val="single" w:color="000000" w:sz="2" w:space="0"/>
              <w:left w:val="single" w:color="auto" w:sz="4" w:space="0"/>
              <w:bottom w:val="single" w:color="000000" w:sz="2" w:space="0"/>
              <w:right w:val="single" w:color="auto" w:sz="4" w:space="0"/>
            </w:tcBorders>
            <w:vAlign w:val="center"/>
          </w:tcPr>
          <w:p w14:paraId="7A04E5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广西武宣县博盛农机专业合作社</w:t>
            </w:r>
          </w:p>
        </w:tc>
        <w:tc>
          <w:tcPr>
            <w:tcW w:w="1865" w:type="pct"/>
            <w:tcBorders>
              <w:top w:val="single" w:color="auto" w:sz="4" w:space="0"/>
              <w:left w:val="single" w:color="auto" w:sz="4" w:space="0"/>
              <w:bottom w:val="single" w:color="auto" w:sz="4" w:space="0"/>
              <w:right w:val="single" w:color="auto" w:sz="4" w:space="0"/>
            </w:tcBorders>
            <w:vAlign w:val="center"/>
          </w:tcPr>
          <w:p w14:paraId="16824F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color w:val="auto"/>
                <w:sz w:val="24"/>
                <w:szCs w:val="24"/>
                <w:highlight w:val="none"/>
                <w:lang w:bidi="ar"/>
              </w:rPr>
            </w:pPr>
            <w:r>
              <w:rPr>
                <w:rFonts w:hint="eastAsia" w:ascii="仿宋_GB2312" w:hAnsi="仿宋_GB2312" w:eastAsia="仿宋_GB2312" w:cs="仿宋_GB2312"/>
                <w:color w:val="auto"/>
                <w:sz w:val="24"/>
                <w:szCs w:val="24"/>
                <w:highlight w:val="none"/>
                <w:lang w:bidi="ar"/>
              </w:rPr>
              <w:t>参与标准文本及编制说明的编写；组织开展标准征求意见会；对标准实施情况进行总结分析，不断对标准提出修正意见。</w:t>
            </w:r>
          </w:p>
        </w:tc>
      </w:tr>
      <w:tr w14:paraId="75E666C8">
        <w:tblPrEx>
          <w:tblCellMar>
            <w:top w:w="0" w:type="dxa"/>
            <w:left w:w="108" w:type="dxa"/>
            <w:bottom w:w="0" w:type="dxa"/>
            <w:right w:w="108" w:type="dxa"/>
          </w:tblCellMar>
        </w:tblPrEx>
        <w:trPr>
          <w:cantSplit/>
          <w:trHeight w:val="517" w:hRule="atLeast"/>
        </w:trPr>
        <w:tc>
          <w:tcPr>
            <w:tcW w:w="535" w:type="pct"/>
            <w:tcBorders>
              <w:top w:val="single" w:color="auto" w:sz="4" w:space="0"/>
              <w:left w:val="single" w:color="auto" w:sz="4" w:space="0"/>
              <w:bottom w:val="single" w:color="auto" w:sz="4" w:space="0"/>
              <w:right w:val="single" w:color="008000" w:sz="4" w:space="0"/>
            </w:tcBorders>
            <w:vAlign w:val="center"/>
          </w:tcPr>
          <w:p w14:paraId="59B8D0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邵管福</w:t>
            </w:r>
          </w:p>
        </w:tc>
        <w:tc>
          <w:tcPr>
            <w:tcW w:w="1212" w:type="dxa"/>
            <w:tcBorders>
              <w:top w:val="single" w:color="auto" w:sz="4" w:space="0"/>
              <w:left w:val="single" w:color="auto" w:sz="4" w:space="0"/>
              <w:bottom w:val="single" w:color="auto" w:sz="4" w:space="0"/>
              <w:right w:val="single" w:color="auto" w:sz="4" w:space="0"/>
            </w:tcBorders>
            <w:vAlign w:val="center"/>
          </w:tcPr>
          <w:p w14:paraId="301C09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农艺师</w:t>
            </w:r>
          </w:p>
        </w:tc>
        <w:tc>
          <w:tcPr>
            <w:tcW w:w="1186" w:type="dxa"/>
            <w:tcBorders>
              <w:top w:val="single" w:color="000000" w:sz="2" w:space="0"/>
              <w:left w:val="single" w:color="auto" w:sz="4" w:space="0"/>
              <w:bottom w:val="single" w:color="000000" w:sz="2" w:space="0"/>
              <w:right w:val="single" w:color="auto" w:sz="4" w:space="0"/>
            </w:tcBorders>
            <w:vAlign w:val="center"/>
          </w:tcPr>
          <w:p w14:paraId="5F84FF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甘蔗生产</w:t>
            </w:r>
          </w:p>
        </w:tc>
        <w:tc>
          <w:tcPr>
            <w:tcW w:w="2367" w:type="dxa"/>
            <w:tcBorders>
              <w:top w:val="single" w:color="000000" w:sz="2" w:space="0"/>
              <w:left w:val="single" w:color="auto" w:sz="4" w:space="0"/>
              <w:bottom w:val="single" w:color="000000" w:sz="2" w:space="0"/>
              <w:right w:val="single" w:color="auto" w:sz="4" w:space="0"/>
            </w:tcBorders>
            <w:vAlign w:val="center"/>
          </w:tcPr>
          <w:p w14:paraId="3EC7C5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云南英茂糖业（集团）有限公司</w:t>
            </w:r>
          </w:p>
        </w:tc>
        <w:tc>
          <w:tcPr>
            <w:tcW w:w="1865" w:type="pct"/>
            <w:tcBorders>
              <w:top w:val="single" w:color="auto" w:sz="4" w:space="0"/>
              <w:left w:val="single" w:color="auto" w:sz="4" w:space="0"/>
              <w:bottom w:val="single" w:color="auto" w:sz="4" w:space="0"/>
              <w:right w:val="single" w:color="auto" w:sz="4" w:space="0"/>
            </w:tcBorders>
            <w:vAlign w:val="center"/>
          </w:tcPr>
          <w:p w14:paraId="7BE6F8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color w:val="auto"/>
                <w:sz w:val="24"/>
                <w:szCs w:val="24"/>
                <w:highlight w:val="none"/>
                <w:lang w:bidi="ar"/>
              </w:rPr>
            </w:pPr>
            <w:r>
              <w:rPr>
                <w:rFonts w:hint="eastAsia" w:ascii="仿宋_GB2312" w:hAnsi="仿宋_GB2312" w:eastAsia="仿宋_GB2312" w:cs="仿宋_GB2312"/>
                <w:color w:val="auto"/>
                <w:sz w:val="24"/>
                <w:szCs w:val="24"/>
                <w:highlight w:val="none"/>
                <w:lang w:bidi="ar"/>
              </w:rPr>
              <w:t>参与标准文本及编制说明的编写；组织开展标准征求意见会；对标准实施情况进行总结分析，不断对标准提出修正意见。</w:t>
            </w:r>
          </w:p>
        </w:tc>
      </w:tr>
      <w:tr w14:paraId="65165DBD">
        <w:tblPrEx>
          <w:tblCellMar>
            <w:top w:w="0" w:type="dxa"/>
            <w:left w:w="108" w:type="dxa"/>
            <w:bottom w:w="0" w:type="dxa"/>
            <w:right w:w="108" w:type="dxa"/>
          </w:tblCellMar>
        </w:tblPrEx>
        <w:trPr>
          <w:cantSplit/>
          <w:trHeight w:val="517" w:hRule="atLeast"/>
        </w:trPr>
        <w:tc>
          <w:tcPr>
            <w:tcW w:w="535" w:type="pct"/>
            <w:tcBorders>
              <w:top w:val="single" w:color="auto" w:sz="4" w:space="0"/>
              <w:left w:val="single" w:color="auto" w:sz="4" w:space="0"/>
              <w:bottom w:val="single" w:color="auto" w:sz="4" w:space="0"/>
              <w:right w:val="single" w:color="008000" w:sz="4" w:space="0"/>
            </w:tcBorders>
            <w:vAlign w:val="center"/>
          </w:tcPr>
          <w:p w14:paraId="493AF2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朱桂薇</w:t>
            </w:r>
          </w:p>
        </w:tc>
        <w:tc>
          <w:tcPr>
            <w:tcW w:w="1212" w:type="dxa"/>
            <w:tcBorders>
              <w:top w:val="single" w:color="auto" w:sz="4" w:space="0"/>
              <w:left w:val="single" w:color="auto" w:sz="4" w:space="0"/>
              <w:bottom w:val="single" w:color="auto" w:sz="4" w:space="0"/>
              <w:right w:val="single" w:color="auto" w:sz="4" w:space="0"/>
            </w:tcBorders>
            <w:vAlign w:val="center"/>
          </w:tcPr>
          <w:p w14:paraId="1CF785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管理八级</w:t>
            </w:r>
          </w:p>
        </w:tc>
        <w:tc>
          <w:tcPr>
            <w:tcW w:w="1186" w:type="dxa"/>
            <w:tcBorders>
              <w:top w:val="single" w:color="000000" w:sz="2" w:space="0"/>
              <w:left w:val="single" w:color="auto" w:sz="4" w:space="0"/>
              <w:bottom w:val="single" w:color="000000" w:sz="2" w:space="0"/>
              <w:right w:val="single" w:color="auto" w:sz="4" w:space="0"/>
            </w:tcBorders>
            <w:vAlign w:val="center"/>
          </w:tcPr>
          <w:p w14:paraId="6C8E78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行政管理</w:t>
            </w:r>
          </w:p>
        </w:tc>
        <w:tc>
          <w:tcPr>
            <w:tcW w:w="2367" w:type="dxa"/>
            <w:tcBorders>
              <w:top w:val="single" w:color="000000" w:sz="2" w:space="0"/>
              <w:left w:val="single" w:color="auto" w:sz="4" w:space="0"/>
              <w:bottom w:val="single" w:color="000000" w:sz="2" w:space="0"/>
              <w:right w:val="single" w:color="auto" w:sz="4" w:space="0"/>
            </w:tcBorders>
            <w:vAlign w:val="center"/>
          </w:tcPr>
          <w:p w14:paraId="129330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广西壮族自治区农业科学院</w:t>
            </w:r>
          </w:p>
        </w:tc>
        <w:tc>
          <w:tcPr>
            <w:tcW w:w="1865" w:type="pct"/>
            <w:tcBorders>
              <w:top w:val="single" w:color="auto" w:sz="4" w:space="0"/>
              <w:left w:val="single" w:color="auto" w:sz="4" w:space="0"/>
              <w:bottom w:val="single" w:color="auto" w:sz="4" w:space="0"/>
              <w:right w:val="single" w:color="auto" w:sz="4" w:space="0"/>
            </w:tcBorders>
            <w:vAlign w:val="center"/>
          </w:tcPr>
          <w:p w14:paraId="60978A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color w:val="auto"/>
                <w:sz w:val="24"/>
                <w:szCs w:val="24"/>
                <w:highlight w:val="none"/>
                <w:lang w:bidi="ar"/>
              </w:rPr>
            </w:pPr>
            <w:r>
              <w:rPr>
                <w:rFonts w:hint="eastAsia" w:ascii="仿宋_GB2312" w:hAnsi="仿宋_GB2312" w:eastAsia="仿宋_GB2312" w:cs="仿宋_GB2312"/>
                <w:color w:val="auto"/>
                <w:sz w:val="24"/>
                <w:szCs w:val="24"/>
                <w:highlight w:val="none"/>
                <w:lang w:bidi="ar"/>
              </w:rPr>
              <w:t>参与标准文本及编制说明的编写；组织开展标准征求意见会；对标准实施情况进行总结分析，不断对标准提出修正意见。</w:t>
            </w:r>
          </w:p>
        </w:tc>
      </w:tr>
      <w:tr w14:paraId="2D24055F">
        <w:tblPrEx>
          <w:tblCellMar>
            <w:top w:w="0" w:type="dxa"/>
            <w:left w:w="108" w:type="dxa"/>
            <w:bottom w:w="0" w:type="dxa"/>
            <w:right w:w="108" w:type="dxa"/>
          </w:tblCellMar>
        </w:tblPrEx>
        <w:trPr>
          <w:cantSplit/>
          <w:trHeight w:val="517" w:hRule="atLeast"/>
        </w:trPr>
        <w:tc>
          <w:tcPr>
            <w:tcW w:w="535" w:type="pct"/>
            <w:tcBorders>
              <w:top w:val="single" w:color="auto" w:sz="4" w:space="0"/>
              <w:left w:val="single" w:color="auto" w:sz="4" w:space="0"/>
              <w:bottom w:val="single" w:color="auto" w:sz="4" w:space="0"/>
              <w:right w:val="single" w:color="008000" w:sz="4" w:space="0"/>
            </w:tcBorders>
            <w:vAlign w:val="center"/>
          </w:tcPr>
          <w:p w14:paraId="54E688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覃文宪</w:t>
            </w:r>
          </w:p>
        </w:tc>
        <w:tc>
          <w:tcPr>
            <w:tcW w:w="1212" w:type="dxa"/>
            <w:tcBorders>
              <w:top w:val="single" w:color="auto" w:sz="4" w:space="0"/>
              <w:left w:val="single" w:color="auto" w:sz="4" w:space="0"/>
              <w:bottom w:val="single" w:color="auto" w:sz="4" w:space="0"/>
              <w:right w:val="single" w:color="auto" w:sz="4" w:space="0"/>
            </w:tcBorders>
            <w:vAlign w:val="center"/>
          </w:tcPr>
          <w:p w14:paraId="183A8F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工程师</w:t>
            </w:r>
          </w:p>
        </w:tc>
        <w:tc>
          <w:tcPr>
            <w:tcW w:w="1186" w:type="dxa"/>
            <w:tcBorders>
              <w:top w:val="single" w:color="000000" w:sz="2" w:space="0"/>
              <w:left w:val="single" w:color="auto" w:sz="4" w:space="0"/>
              <w:bottom w:val="single" w:color="000000" w:sz="2" w:space="0"/>
              <w:right w:val="single" w:color="auto" w:sz="4" w:space="0"/>
            </w:tcBorders>
            <w:vAlign w:val="center"/>
          </w:tcPr>
          <w:p w14:paraId="3CEC4D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机械制造</w:t>
            </w:r>
          </w:p>
        </w:tc>
        <w:tc>
          <w:tcPr>
            <w:tcW w:w="2367" w:type="dxa"/>
            <w:tcBorders>
              <w:top w:val="single" w:color="000000" w:sz="2" w:space="0"/>
              <w:left w:val="single" w:color="auto" w:sz="4" w:space="0"/>
              <w:bottom w:val="single" w:color="000000" w:sz="2" w:space="0"/>
              <w:right w:val="single" w:color="auto" w:sz="4" w:space="0"/>
            </w:tcBorders>
            <w:vAlign w:val="center"/>
          </w:tcPr>
          <w:p w14:paraId="4AA66D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广西壮族自治区农业科学院</w:t>
            </w:r>
          </w:p>
        </w:tc>
        <w:tc>
          <w:tcPr>
            <w:tcW w:w="1865" w:type="pct"/>
            <w:tcBorders>
              <w:top w:val="single" w:color="auto" w:sz="4" w:space="0"/>
              <w:left w:val="single" w:color="auto" w:sz="4" w:space="0"/>
              <w:bottom w:val="single" w:color="auto" w:sz="4" w:space="0"/>
              <w:right w:val="single" w:color="auto" w:sz="4" w:space="0"/>
            </w:tcBorders>
            <w:vAlign w:val="center"/>
          </w:tcPr>
          <w:p w14:paraId="39D6BB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color w:val="auto"/>
                <w:sz w:val="24"/>
                <w:szCs w:val="24"/>
                <w:highlight w:val="none"/>
                <w:lang w:bidi="ar"/>
              </w:rPr>
            </w:pPr>
            <w:r>
              <w:rPr>
                <w:rFonts w:hint="eastAsia" w:ascii="仿宋_GB2312" w:hAnsi="仿宋_GB2312" w:eastAsia="仿宋_GB2312" w:cs="仿宋_GB2312"/>
                <w:color w:val="auto"/>
                <w:sz w:val="24"/>
                <w:szCs w:val="24"/>
                <w:highlight w:val="none"/>
                <w:lang w:bidi="ar"/>
              </w:rPr>
              <w:t>参与标准文本及编制说明的编写；组织开展标准征求意见会；对标准实施情况进行总结分析，不断对标准提出修正意见。</w:t>
            </w:r>
          </w:p>
        </w:tc>
      </w:tr>
      <w:tr w14:paraId="487A99CB">
        <w:tblPrEx>
          <w:tblCellMar>
            <w:top w:w="0" w:type="dxa"/>
            <w:left w:w="108" w:type="dxa"/>
            <w:bottom w:w="0" w:type="dxa"/>
            <w:right w:w="108" w:type="dxa"/>
          </w:tblCellMar>
        </w:tblPrEx>
        <w:trPr>
          <w:cantSplit/>
          <w:trHeight w:val="517" w:hRule="atLeast"/>
        </w:trPr>
        <w:tc>
          <w:tcPr>
            <w:tcW w:w="535" w:type="pct"/>
            <w:tcBorders>
              <w:top w:val="single" w:color="auto" w:sz="4" w:space="0"/>
              <w:left w:val="single" w:color="auto" w:sz="4" w:space="0"/>
              <w:bottom w:val="single" w:color="auto" w:sz="4" w:space="0"/>
              <w:right w:val="single" w:color="008000" w:sz="4" w:space="0"/>
            </w:tcBorders>
            <w:vAlign w:val="center"/>
          </w:tcPr>
          <w:p w14:paraId="047251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黄成丰</w:t>
            </w:r>
          </w:p>
        </w:tc>
        <w:tc>
          <w:tcPr>
            <w:tcW w:w="1212" w:type="dxa"/>
            <w:tcBorders>
              <w:top w:val="single" w:color="auto" w:sz="4" w:space="0"/>
              <w:left w:val="single" w:color="auto" w:sz="4" w:space="0"/>
              <w:bottom w:val="single" w:color="auto" w:sz="4" w:space="0"/>
              <w:right w:val="single" w:color="auto" w:sz="4" w:space="0"/>
            </w:tcBorders>
            <w:vAlign w:val="center"/>
          </w:tcPr>
          <w:p w14:paraId="46E3D4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讲师</w:t>
            </w:r>
          </w:p>
        </w:tc>
        <w:tc>
          <w:tcPr>
            <w:tcW w:w="1186" w:type="dxa"/>
            <w:tcBorders>
              <w:top w:val="single" w:color="000000" w:sz="2" w:space="0"/>
              <w:left w:val="single" w:color="auto" w:sz="4" w:space="0"/>
              <w:bottom w:val="single" w:color="auto" w:sz="4" w:space="0"/>
              <w:right w:val="single" w:color="auto" w:sz="4" w:space="0"/>
            </w:tcBorders>
            <w:vAlign w:val="center"/>
          </w:tcPr>
          <w:p w14:paraId="2C1F6C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甘蔗栽培</w:t>
            </w:r>
          </w:p>
        </w:tc>
        <w:tc>
          <w:tcPr>
            <w:tcW w:w="2367" w:type="dxa"/>
            <w:tcBorders>
              <w:top w:val="single" w:color="000000" w:sz="2" w:space="0"/>
              <w:left w:val="single" w:color="auto" w:sz="4" w:space="0"/>
              <w:bottom w:val="single" w:color="auto" w:sz="4" w:space="0"/>
              <w:right w:val="single" w:color="auto" w:sz="4" w:space="0"/>
            </w:tcBorders>
            <w:vAlign w:val="center"/>
          </w:tcPr>
          <w:p w14:paraId="67443A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iCs w:val="0"/>
                <w:color w:val="000000"/>
                <w:kern w:val="0"/>
                <w:sz w:val="24"/>
                <w:szCs w:val="24"/>
                <w:u w:val="none"/>
                <w:lang w:val="en-US" w:eastAsia="zh-CN" w:bidi="ar"/>
              </w:rPr>
              <w:t>广西壮族自治区农业科学院</w:t>
            </w:r>
          </w:p>
        </w:tc>
        <w:tc>
          <w:tcPr>
            <w:tcW w:w="1865" w:type="pct"/>
            <w:tcBorders>
              <w:top w:val="single" w:color="auto" w:sz="4" w:space="0"/>
              <w:left w:val="single" w:color="auto" w:sz="4" w:space="0"/>
              <w:bottom w:val="single" w:color="auto" w:sz="4" w:space="0"/>
              <w:right w:val="single" w:color="auto" w:sz="4" w:space="0"/>
            </w:tcBorders>
            <w:vAlign w:val="center"/>
          </w:tcPr>
          <w:p w14:paraId="48E8D2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color w:val="auto"/>
                <w:sz w:val="24"/>
                <w:szCs w:val="24"/>
                <w:highlight w:val="none"/>
                <w:lang w:bidi="ar"/>
              </w:rPr>
            </w:pPr>
            <w:r>
              <w:rPr>
                <w:rFonts w:hint="eastAsia" w:ascii="仿宋_GB2312" w:hAnsi="仿宋_GB2312" w:eastAsia="仿宋_GB2312" w:cs="仿宋_GB2312"/>
                <w:color w:val="auto"/>
                <w:sz w:val="24"/>
                <w:szCs w:val="24"/>
                <w:highlight w:val="none"/>
                <w:lang w:bidi="ar"/>
              </w:rPr>
              <w:t>参与标准文本及编制说明的编写；组织开展标准征求意见会；对标准实施情况进行总结分析，不断对标准提出修正意见。</w:t>
            </w:r>
          </w:p>
        </w:tc>
      </w:tr>
    </w:tbl>
    <w:p w14:paraId="6BE1CEB3">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二、制定标准的必要性和意义</w:t>
      </w:r>
    </w:p>
    <w:p w14:paraId="67019A9C">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广西壮族自治区人民政府关于2025年自治区《政府工作报告》重点工作部门分工的意见（桂政发〔2025〕3号）》指出要抓好粮食和重要农产品稳产保供。强化耕地保护和质量提升，严格耕地占补平衡管理，持续加强高标准农田建设。推进小型农业水利设施建设与管护攻坚。推广糖料蔗良种种植和机收。</w:t>
      </w:r>
    </w:p>
    <w:p w14:paraId="0345A8B9">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甘蔗是世界各国制糖的重要原料之一，全世界每年生产的蔗糖约有70%来源于甘蔗。全世界有超过100多个国家种植甘蔗，全球的种植面积达到了1900万公顷，其中中国、巴西和印度是主要的甘蔗种植大国。中国种植的甘蔗大多为中国种和热带种。热带种按其用途又可分为糖蔗和果蔗两种。果蔗由于其皮软，纤维含量相对较少，汁多味美，深受蔗农和消费者的喜爱；糖蔗由于皮硬，纤维成分高，不适合食用，但是由于其丰富的糖含量，成为制糖工业的主要原料之一。根据2025年10月中国农产品供需形势分析，2024/25年度中国食糖产销结束，累计产糖1116万吨，较上年度增加120万吨；食糖年度均价为每吨5993元，比上年度每吨跌498元，跌幅7.7%；国际原糖年度均价为每磅18.58美分，比上年度每磅下跌3.1美分，跌幅14.3%。</w:t>
      </w:r>
    </w:p>
    <w:p w14:paraId="116A24CD">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中国最大的甘蔗和食糖生产中心位于广西，其甘蔗种植面积、产量以及所生产的食糖产量均占全国的60%以上。广西2023年启动实施新一轮糖料蔗良种良法技术推广政策，对脱毒种苗和健康种苗新植蔗实行差异化补贴，完成脱毒健康种苗新植面积约353万亩。对接收联合机收蔗的糖企按机收量与入榨量占比给予差异化补贴，试点推广糖料蔗“田间砍运—集中切割除杂—进厂压榨”的分步式机收作业模式，全区糖料蔗生产综合机械化率70.8%。支持糖企建设糖料蔗自营基地，全区规模化经营总面积283万亩。2020～2022年，全区糖料蔗种植面积分别为1115万亩、1106万亩、1120万亩，遏制住了从2013年至2019年平均每年下滑78万亩的不利势头，基本稳定在1100万亩以上。同时，通过积极稳妥开展糖料蔗购销市场改革、完成500万亩“双高”基地建设，大力推进种植良种化等工作促进蔗农增收，农民种蔗直接收入基本稳定在250亿元左右，其中2021/2022年榨季259.62亿元，同比增长1.44%。2023/2024年榨季，广西糖料蔗产业种植面积1124万亩，预计糖料蔗产量4900万吨，食糖产量稳定在600万吨左右，糖料蔗种植面积和食糖产量将连续33个榨季位居全国第一。</w:t>
      </w:r>
    </w:p>
    <w:p w14:paraId="025FAE5F">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随着甘蔗种植规模的增大，对于效率、质量、成本的要求也越来越高，长期以来，甘蔗种植机械化程度低，人力成本高，当地蔗农与企业深受困扰。通过机械化种植，可以大幅降低劳动力成本和劳动强度，而且机械化种植能确保行距、株距、播种深度、下种量、施肥量高度统一和精确可控，科学可控，提升甘蔗生长潜能。甘蔗机械化种植的优势是系统性的，它不仅是简单的“机器换人”，更是农业生产方式的革命性升级。它从经济效益、技术效益和社会效益三个层面，从根本上推动了甘蔗产业的转型升级。</w:t>
      </w:r>
    </w:p>
    <w:p w14:paraId="7A493052">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因此，有必要制定高质量团体标准《糖料蔗规模种植高效高产全程机械化生产技术规程》，以标准为抓手，统一规范糖料蔗规模种植高效高产全程机械化生产技术要求，提高糖料蔗种植效率和质量，促进糖料蔗产业高质量发展。</w:t>
      </w:r>
    </w:p>
    <w:p w14:paraId="64CFA7EF">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三、主要起草过程</w:t>
      </w:r>
    </w:p>
    <w:p w14:paraId="0D6A5644">
      <w:pPr>
        <w:keepNext w:val="0"/>
        <w:keepLines w:val="0"/>
        <w:pageBreakBefore w:val="0"/>
        <w:kinsoku/>
        <w:overflowPunct/>
        <w:topLinePunct w:val="0"/>
        <w:bidi w:val="0"/>
        <w:snapToGrid/>
        <w:spacing w:line="560" w:lineRule="exact"/>
        <w:ind w:firstLine="643"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b/>
          <w:color w:val="auto"/>
          <w:sz w:val="32"/>
          <w:szCs w:val="28"/>
          <w:highlight w:val="none"/>
        </w:rPr>
        <w:t>（一）成立标准编制工作组</w:t>
      </w:r>
    </w:p>
    <w:p w14:paraId="437C2B65">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团体标准《糖料蔗规模种植高效高产全程机械化生产技术规程》项目任务下达后，广西壮族自治区农业科学院成立了标准编制工作组，起草单位制定了起草编写方案与进度安排，明确任务职责，确定工作技术路线，开展标准研制工作。具体标准编制工作由广西壮族自治区农业科学院、云南英茂糖业(集团)有限公司、广西益兴现代农业科技发展有限公司、广西武宣县博盛农机专业合作社、广西沛雨农业发展有限公司等单位负责人组成的标准编制工作组完成。</w:t>
      </w:r>
    </w:p>
    <w:p w14:paraId="0D99A07B">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编制工作组下设三个组，分别是资料收集组、草案编写组、标准实施组。</w:t>
      </w:r>
    </w:p>
    <w:p w14:paraId="59AE398B">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资料收集组负责国内外有关糖料蔗规模种植高效高产全程机械化生产的文献资料的查询、收集和整理工作，查阅前人对糖料蔗规模种植高效高产全程机械化生产的研究情况。</w:t>
      </w:r>
    </w:p>
    <w:p w14:paraId="0BE25F71">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草案编写组负责起草标准草案、征求意见稿和标准编制说明、送审稿及编制说明的编写工作，包括后期召开征求意见会、网上征求意见，以及标准的不断修改和完善。</w:t>
      </w:r>
    </w:p>
    <w:p w14:paraId="067432A5">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标准实施组负责团体标准《糖料蔗规模种植高效高产全程机械化生产技术规程》发布后，组织相关企事业单位开展标准宣贯培训会，对标准进行详细解读，让相关人员了解标准，并根据标准对糖料蔗规模种植高效高产全程机械化生产进行规范化操作，并对标准实施情况进行总结分析，不断对团体标准提出修正意见。</w:t>
      </w:r>
    </w:p>
    <w:p w14:paraId="32C78715">
      <w:pPr>
        <w:keepNext w:val="0"/>
        <w:keepLines w:val="0"/>
        <w:pageBreakBefore w:val="0"/>
        <w:kinsoku/>
        <w:overflowPunct/>
        <w:topLinePunct w:val="0"/>
        <w:bidi w:val="0"/>
        <w:snapToGrid/>
        <w:spacing w:line="560" w:lineRule="exact"/>
        <w:ind w:firstLine="643" w:firstLineChars="200"/>
        <w:textAlignment w:val="auto"/>
        <w:rPr>
          <w:rFonts w:hint="eastAsia" w:ascii="仿宋_GB2312" w:hAnsi="仿宋_GB2312" w:eastAsia="仿宋_GB2312" w:cs="仿宋_GB2312"/>
          <w:b/>
          <w:color w:val="auto"/>
          <w:sz w:val="32"/>
          <w:szCs w:val="28"/>
          <w:highlight w:val="none"/>
        </w:rPr>
      </w:pPr>
      <w:r>
        <w:rPr>
          <w:rFonts w:hint="eastAsia" w:ascii="仿宋_GB2312" w:hAnsi="仿宋_GB2312" w:eastAsia="仿宋_GB2312" w:cs="仿宋_GB2312"/>
          <w:b/>
          <w:color w:val="auto"/>
          <w:sz w:val="32"/>
          <w:szCs w:val="28"/>
          <w:highlight w:val="none"/>
        </w:rPr>
        <w:t>（二）收集整理文献资料</w:t>
      </w:r>
    </w:p>
    <w:p w14:paraId="2B9611BD">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lang w:val="fr-FR"/>
        </w:rPr>
      </w:pPr>
      <w:r>
        <w:rPr>
          <w:rFonts w:hint="eastAsia" w:ascii="仿宋_GB2312" w:hAnsi="仿宋_GB2312" w:eastAsia="仿宋_GB2312" w:cs="仿宋_GB2312"/>
          <w:color w:val="auto"/>
          <w:sz w:val="32"/>
          <w:szCs w:val="28"/>
          <w:highlight w:val="none"/>
        </w:rPr>
        <w:t>标准编制工作组收集了国内有关</w:t>
      </w:r>
      <w:r>
        <w:rPr>
          <w:rFonts w:hint="eastAsia" w:ascii="仿宋_GB2312" w:hAnsi="仿宋_GB2312" w:eastAsia="仿宋_GB2312" w:cs="仿宋_GB2312"/>
          <w:color w:val="auto"/>
          <w:sz w:val="32"/>
          <w:szCs w:val="28"/>
          <w:highlight w:val="none"/>
          <w:lang w:eastAsia="zh-CN"/>
        </w:rPr>
        <w:t>“</w:t>
      </w:r>
      <w:r>
        <w:rPr>
          <w:rFonts w:hint="eastAsia" w:ascii="仿宋_GB2312" w:hAnsi="仿宋_GB2312" w:eastAsia="仿宋_GB2312" w:cs="仿宋_GB2312"/>
          <w:color w:val="auto"/>
          <w:sz w:val="32"/>
          <w:szCs w:val="28"/>
          <w:highlight w:val="none"/>
          <w:lang w:val="en-US" w:eastAsia="zh-CN"/>
        </w:rPr>
        <w:t>甘蔗  机械化”</w:t>
      </w:r>
      <w:r>
        <w:rPr>
          <w:rFonts w:hint="eastAsia" w:ascii="仿宋_GB2312" w:hAnsi="仿宋_GB2312" w:eastAsia="仿宋_GB2312" w:cs="仿宋_GB2312"/>
          <w:color w:val="auto"/>
          <w:sz w:val="32"/>
          <w:szCs w:val="28"/>
          <w:highlight w:val="none"/>
        </w:rPr>
        <w:t>相关文献资料。主要有</w:t>
      </w:r>
      <w:r>
        <w:rPr>
          <w:rFonts w:hint="eastAsia" w:ascii="仿宋_GB2312" w:hAnsi="仿宋_GB2312" w:eastAsia="仿宋_GB2312" w:cs="仿宋_GB2312"/>
          <w:color w:val="auto"/>
          <w:sz w:val="32"/>
          <w:szCs w:val="28"/>
          <w:highlight w:val="none"/>
          <w:lang w:val="fr-FR"/>
        </w:rPr>
        <w:t>：</w:t>
      </w:r>
    </w:p>
    <w:p w14:paraId="37E98D2C">
      <w:pPr>
        <w:keepNext w:val="0"/>
        <w:keepLines w:val="0"/>
        <w:pageBreakBefore w:val="0"/>
        <w:kinsoku/>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NY</w:t>
      </w:r>
      <w:r>
        <w:rPr>
          <w:rFonts w:hint="eastAsia" w:ascii="仿宋_GB2312" w:hAnsi="仿宋_GB2312" w:eastAsia="仿宋_GB2312" w:cs="仿宋_GB2312"/>
          <w:color w:val="auto"/>
          <w:sz w:val="32"/>
          <w:szCs w:val="28"/>
          <w:highlight w:val="none"/>
          <w:lang w:val="en-US" w:eastAsia="zh-CN"/>
        </w:rPr>
        <w:t>/</w:t>
      </w:r>
      <w:r>
        <w:rPr>
          <w:rFonts w:hint="eastAsia" w:ascii="仿宋_GB2312" w:hAnsi="仿宋_GB2312" w:eastAsia="仿宋_GB2312" w:cs="仿宋_GB2312"/>
          <w:color w:val="auto"/>
          <w:sz w:val="32"/>
          <w:szCs w:val="28"/>
          <w:highlight w:val="none"/>
        </w:rPr>
        <w:t>T 3889-2021  甘蔗全程机械化生产技术规范</w:t>
      </w:r>
    </w:p>
    <w:p w14:paraId="18C1B2A0">
      <w:pPr>
        <w:keepNext w:val="0"/>
        <w:keepLines w:val="0"/>
        <w:pageBreakBefore w:val="0"/>
        <w:kinsoku/>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DB53</w:t>
      </w:r>
      <w:r>
        <w:rPr>
          <w:rFonts w:hint="eastAsia" w:ascii="仿宋_GB2312" w:hAnsi="仿宋_GB2312" w:eastAsia="仿宋_GB2312" w:cs="仿宋_GB2312"/>
          <w:color w:val="auto"/>
          <w:sz w:val="32"/>
          <w:szCs w:val="28"/>
          <w:highlight w:val="none"/>
          <w:lang w:val="en-US" w:eastAsia="zh-CN"/>
        </w:rPr>
        <w:t>/</w:t>
      </w:r>
      <w:r>
        <w:rPr>
          <w:rFonts w:hint="eastAsia" w:ascii="仿宋_GB2312" w:hAnsi="仿宋_GB2312" w:eastAsia="仿宋_GB2312" w:cs="仿宋_GB2312"/>
          <w:color w:val="auto"/>
          <w:sz w:val="32"/>
          <w:szCs w:val="28"/>
          <w:highlight w:val="none"/>
        </w:rPr>
        <w:t>T 364-2011  甘蔗机械化生产技术规范</w:t>
      </w:r>
    </w:p>
    <w:p w14:paraId="620EFA34">
      <w:pPr>
        <w:keepNext w:val="0"/>
        <w:keepLines w:val="0"/>
        <w:pageBreakBefore w:val="0"/>
        <w:kinsoku/>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DB4408</w:t>
      </w:r>
      <w:r>
        <w:rPr>
          <w:rFonts w:hint="eastAsia" w:ascii="仿宋_GB2312" w:hAnsi="仿宋_GB2312" w:eastAsia="仿宋_GB2312" w:cs="仿宋_GB2312"/>
          <w:color w:val="auto"/>
          <w:sz w:val="32"/>
          <w:szCs w:val="28"/>
          <w:highlight w:val="none"/>
          <w:lang w:val="en-US" w:eastAsia="zh-CN"/>
        </w:rPr>
        <w:t>/</w:t>
      </w:r>
      <w:r>
        <w:rPr>
          <w:rFonts w:hint="eastAsia" w:ascii="仿宋_GB2312" w:hAnsi="仿宋_GB2312" w:eastAsia="仿宋_GB2312" w:cs="仿宋_GB2312"/>
          <w:color w:val="auto"/>
          <w:sz w:val="32"/>
          <w:szCs w:val="28"/>
          <w:highlight w:val="none"/>
        </w:rPr>
        <w:t>T 36-2024  甘蔗机械化种植技术规程</w:t>
      </w:r>
    </w:p>
    <w:p w14:paraId="373342B9">
      <w:pPr>
        <w:keepNext w:val="0"/>
        <w:keepLines w:val="0"/>
        <w:pageBreakBefore w:val="0"/>
        <w:kinsoku/>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DB5331</w:t>
      </w:r>
      <w:r>
        <w:rPr>
          <w:rFonts w:hint="eastAsia" w:ascii="仿宋_GB2312" w:hAnsi="仿宋_GB2312" w:eastAsia="仿宋_GB2312" w:cs="仿宋_GB2312"/>
          <w:color w:val="auto"/>
          <w:sz w:val="32"/>
          <w:szCs w:val="28"/>
          <w:highlight w:val="none"/>
          <w:lang w:val="en-US" w:eastAsia="zh-CN"/>
        </w:rPr>
        <w:t>/</w:t>
      </w:r>
      <w:r>
        <w:rPr>
          <w:rFonts w:hint="eastAsia" w:ascii="仿宋_GB2312" w:hAnsi="仿宋_GB2312" w:eastAsia="仿宋_GB2312" w:cs="仿宋_GB2312"/>
          <w:color w:val="auto"/>
          <w:sz w:val="32"/>
          <w:szCs w:val="28"/>
          <w:highlight w:val="none"/>
        </w:rPr>
        <w:t>T 51-2024  甘蔗机械化种植管理技术规程。</w:t>
      </w:r>
    </w:p>
    <w:p w14:paraId="44937C7D">
      <w:pPr>
        <w:keepNext w:val="0"/>
        <w:keepLines w:val="0"/>
        <w:pageBreakBefore w:val="0"/>
        <w:kinsoku/>
        <w:overflowPunct/>
        <w:topLinePunct w:val="0"/>
        <w:bidi w:val="0"/>
        <w:snapToGrid/>
        <w:spacing w:line="560" w:lineRule="exact"/>
        <w:ind w:firstLine="643" w:firstLineChars="200"/>
        <w:textAlignment w:val="auto"/>
        <w:rPr>
          <w:rFonts w:hint="eastAsia" w:ascii="仿宋_GB2312" w:hAnsi="仿宋_GB2312" w:eastAsia="仿宋_GB2312" w:cs="仿宋_GB2312"/>
          <w:b/>
          <w:color w:val="auto"/>
          <w:sz w:val="32"/>
          <w:szCs w:val="28"/>
          <w:highlight w:val="none"/>
        </w:rPr>
      </w:pPr>
      <w:r>
        <w:rPr>
          <w:rFonts w:hint="eastAsia" w:ascii="仿宋_GB2312" w:hAnsi="仿宋_GB2312" w:eastAsia="仿宋_GB2312" w:cs="仿宋_GB2312"/>
          <w:b/>
          <w:color w:val="auto"/>
          <w:sz w:val="32"/>
          <w:szCs w:val="28"/>
          <w:highlight w:val="none"/>
        </w:rPr>
        <w:t>（三）研讨确定标准</w:t>
      </w:r>
      <w:r>
        <w:rPr>
          <w:rFonts w:hint="eastAsia" w:ascii="仿宋_GB2312" w:hAnsi="仿宋_GB2312" w:eastAsia="仿宋_GB2312" w:cs="仿宋_GB2312"/>
          <w:b/>
          <w:color w:val="auto"/>
          <w:sz w:val="32"/>
          <w:szCs w:val="28"/>
          <w:highlight w:val="none"/>
          <w:lang w:val="en-US" w:eastAsia="zh-CN"/>
        </w:rPr>
        <w:t>特色、创新点、</w:t>
      </w:r>
      <w:r>
        <w:rPr>
          <w:rFonts w:hint="eastAsia" w:ascii="仿宋_GB2312" w:hAnsi="仿宋_GB2312" w:eastAsia="仿宋_GB2312" w:cs="仿宋_GB2312"/>
          <w:b/>
          <w:color w:val="auto"/>
          <w:sz w:val="32"/>
          <w:szCs w:val="28"/>
          <w:highlight w:val="none"/>
        </w:rPr>
        <w:t>主体内容</w:t>
      </w:r>
    </w:p>
    <w:p w14:paraId="2963878A">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lang w:val="en-US" w:eastAsia="zh-CN"/>
        </w:rPr>
      </w:pPr>
      <w:r>
        <w:rPr>
          <w:rFonts w:hint="eastAsia" w:ascii="仿宋_GB2312" w:hAnsi="仿宋_GB2312" w:eastAsia="仿宋_GB2312" w:cs="仿宋_GB2312"/>
          <w:color w:val="auto"/>
          <w:sz w:val="32"/>
          <w:szCs w:val="28"/>
          <w:highlight w:val="none"/>
          <w:lang w:val="en-US" w:eastAsia="zh-CN"/>
        </w:rPr>
        <w:t>1、创新点</w:t>
      </w:r>
    </w:p>
    <w:p w14:paraId="0A2B9B66">
      <w:pPr>
        <w:keepNext w:val="0"/>
        <w:keepLines w:val="0"/>
        <w:pageBreakBefore w:val="0"/>
        <w:kinsoku/>
        <w:overflowPunct/>
        <w:topLinePunct w:val="0"/>
        <w:bidi w:val="0"/>
        <w:snapToGrid/>
        <w:ind w:firstLine="640" w:firstLineChars="200"/>
        <w:jc w:val="both"/>
        <w:textAlignment w:val="auto"/>
        <w:rPr>
          <w:rFonts w:hint="eastAsia" w:ascii="仿宋_GB2312" w:hAnsi="仿宋_GB2312" w:eastAsia="仿宋_GB2312" w:cs="仿宋_GB2312"/>
          <w:color w:val="auto"/>
          <w:sz w:val="32"/>
          <w:szCs w:val="28"/>
          <w:highlight w:val="none"/>
          <w:lang w:val="en-US" w:eastAsia="zh-CN"/>
        </w:rPr>
      </w:pPr>
      <w:r>
        <w:rPr>
          <w:rFonts w:hint="eastAsia" w:ascii="仿宋_GB2312" w:hAnsi="仿宋_GB2312" w:eastAsia="仿宋_GB2312" w:cs="仿宋_GB2312"/>
          <w:color w:val="auto"/>
          <w:sz w:val="32"/>
          <w:szCs w:val="28"/>
          <w:highlight w:val="none"/>
          <w:lang w:val="en-US" w:eastAsia="zh-CN"/>
        </w:rPr>
        <w:t>（1）以局部深松作业替代传统全田翻耕，减少土壤翻转，降低耕作成本。实现甘蔗地保护性耕作与蔗地轮作，在种植带交替耕作，促进用地与养地结合，维持土壤健康。</w:t>
      </w:r>
    </w:p>
    <w:p w14:paraId="04118779">
      <w:pPr>
        <w:keepNext w:val="0"/>
        <w:keepLines w:val="0"/>
        <w:pageBreakBefore w:val="0"/>
        <w:kinsoku/>
        <w:overflowPunct/>
        <w:topLinePunct w:val="0"/>
        <w:bidi w:val="0"/>
        <w:snapToGrid/>
        <w:ind w:firstLine="640" w:firstLineChars="200"/>
        <w:jc w:val="both"/>
        <w:textAlignment w:val="auto"/>
        <w:rPr>
          <w:rFonts w:hint="eastAsia" w:ascii="仿宋_GB2312" w:hAnsi="仿宋_GB2312" w:eastAsia="仿宋_GB2312" w:cs="仿宋_GB2312"/>
          <w:color w:val="auto"/>
          <w:sz w:val="32"/>
          <w:szCs w:val="28"/>
          <w:highlight w:val="none"/>
          <w:lang w:val="en-US" w:eastAsia="zh-CN"/>
        </w:rPr>
      </w:pPr>
      <w:r>
        <w:rPr>
          <w:rFonts w:hint="eastAsia" w:ascii="仿宋_GB2312" w:hAnsi="仿宋_GB2312" w:eastAsia="仿宋_GB2312" w:cs="仿宋_GB2312"/>
          <w:color w:val="auto"/>
          <w:sz w:val="32"/>
          <w:szCs w:val="28"/>
          <w:highlight w:val="none"/>
          <w:lang w:val="en-US" w:eastAsia="zh-CN"/>
        </w:rPr>
        <w:t>（2）提升种茎质量与播种精度，采用标准化脱毒（健康）种茎生产技术，从源头保障种茎质量。配套机械化精量播种，使发芽率提高30%-40%，节约用种量达2/3。</w:t>
      </w:r>
    </w:p>
    <w:p w14:paraId="1A9C50C7">
      <w:pPr>
        <w:keepNext w:val="0"/>
        <w:keepLines w:val="0"/>
        <w:pageBreakBefore w:val="0"/>
        <w:kinsoku/>
        <w:overflowPunct/>
        <w:topLinePunct w:val="0"/>
        <w:bidi w:val="0"/>
        <w:snapToGrid/>
        <w:ind w:firstLine="640" w:firstLineChars="200"/>
        <w:jc w:val="both"/>
        <w:textAlignment w:val="auto"/>
        <w:rPr>
          <w:rFonts w:hint="eastAsia" w:ascii="仿宋_GB2312" w:hAnsi="仿宋_GB2312" w:eastAsia="仿宋_GB2312" w:cs="仿宋_GB2312"/>
          <w:color w:val="auto"/>
          <w:sz w:val="32"/>
          <w:szCs w:val="28"/>
          <w:highlight w:val="none"/>
          <w:lang w:val="en-US" w:eastAsia="zh-CN"/>
        </w:rPr>
      </w:pPr>
      <w:r>
        <w:rPr>
          <w:rFonts w:hint="eastAsia" w:ascii="仿宋_GB2312" w:hAnsi="仿宋_GB2312" w:eastAsia="仿宋_GB2312" w:cs="仿宋_GB2312"/>
          <w:color w:val="auto"/>
          <w:sz w:val="32"/>
          <w:szCs w:val="28"/>
          <w:highlight w:val="none"/>
          <w:lang w:val="en-US" w:eastAsia="zh-CN"/>
        </w:rPr>
        <w:t>（3)作业效率显著提升：种植效率40亩/天、机械除草80-100亩/天、中耕培土80亩/天、机收效率≥15吨/小时、综合作业成本较传统方式降低1/3以上。推广机械除草，减少除草剂用量60%以上，减轻药害对甘蔗生长的影响。</w:t>
      </w:r>
    </w:p>
    <w:p w14:paraId="2A81DD5F">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lang w:val="en-US" w:eastAsia="zh-CN"/>
        </w:rPr>
      </w:pPr>
      <w:r>
        <w:rPr>
          <w:rFonts w:hint="eastAsia" w:ascii="仿宋_GB2312" w:hAnsi="仿宋_GB2312" w:eastAsia="仿宋_GB2312" w:cs="仿宋_GB2312"/>
          <w:color w:val="auto"/>
          <w:sz w:val="32"/>
          <w:szCs w:val="28"/>
          <w:highlight w:val="none"/>
          <w:lang w:val="en-US" w:eastAsia="zh-CN"/>
        </w:rPr>
        <w:t>2、主体内容</w:t>
      </w:r>
    </w:p>
    <w:p w14:paraId="691B939C">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标准编制工作组在对收集的资料进行整理研究之后，标准编制工作组召开了标准编制会议，对标准的整体框架结构进行了研究，并对标准的关键性内容进行了初步探讨。经过研究，标准的主体内容确定为</w:t>
      </w:r>
      <w:bookmarkStart w:id="3" w:name="_GoBack"/>
      <w:bookmarkEnd w:id="3"/>
      <w:r>
        <w:rPr>
          <w:rFonts w:hint="eastAsia" w:ascii="仿宋_GB2312" w:hAnsi="仿宋_GB2312" w:eastAsia="仿宋_GB2312" w:cs="仿宋_GB2312"/>
          <w:color w:val="auto"/>
          <w:sz w:val="32"/>
          <w:szCs w:val="28"/>
          <w:highlight w:val="none"/>
          <w:lang w:val="en-US" w:eastAsia="zh-CN"/>
        </w:rPr>
        <w:t>宜机化改造、耕整地、种植、田间管理、联合收获、宿根管理</w:t>
      </w:r>
      <w:r>
        <w:rPr>
          <w:rFonts w:hint="eastAsia" w:ascii="仿宋_GB2312" w:hAnsi="仿宋_GB2312" w:eastAsia="仿宋_GB2312" w:cs="仿宋_GB2312"/>
          <w:color w:val="auto"/>
          <w:sz w:val="32"/>
          <w:szCs w:val="28"/>
          <w:highlight w:val="none"/>
        </w:rPr>
        <w:t>。</w:t>
      </w:r>
    </w:p>
    <w:p w14:paraId="61FABD75">
      <w:pPr>
        <w:keepNext w:val="0"/>
        <w:keepLines w:val="0"/>
        <w:pageBreakBefore w:val="0"/>
        <w:kinsoku/>
        <w:overflowPunct/>
        <w:topLinePunct w:val="0"/>
        <w:bidi w:val="0"/>
        <w:snapToGrid/>
        <w:spacing w:line="560" w:lineRule="exact"/>
        <w:ind w:firstLine="643" w:firstLineChars="200"/>
        <w:textAlignment w:val="auto"/>
        <w:rPr>
          <w:rFonts w:hint="eastAsia" w:ascii="仿宋_GB2312" w:hAnsi="仿宋_GB2312" w:eastAsia="仿宋_GB2312" w:cs="仿宋_GB2312"/>
          <w:b/>
          <w:color w:val="auto"/>
          <w:sz w:val="32"/>
          <w:szCs w:val="28"/>
          <w:highlight w:val="none"/>
        </w:rPr>
      </w:pPr>
      <w:r>
        <w:rPr>
          <w:rFonts w:hint="eastAsia" w:ascii="仿宋_GB2312" w:hAnsi="仿宋_GB2312" w:eastAsia="仿宋_GB2312" w:cs="仿宋_GB2312"/>
          <w:b/>
          <w:color w:val="auto"/>
          <w:sz w:val="32"/>
          <w:szCs w:val="28"/>
          <w:highlight w:val="none"/>
        </w:rPr>
        <w:t>（四）调研及形成草案、征求意见稿</w:t>
      </w:r>
    </w:p>
    <w:p w14:paraId="6B432005">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202</w:t>
      </w:r>
      <w:r>
        <w:rPr>
          <w:rFonts w:hint="eastAsia" w:ascii="仿宋_GB2312" w:hAnsi="仿宋_GB2312" w:eastAsia="仿宋_GB2312" w:cs="仿宋_GB2312"/>
          <w:color w:val="auto"/>
          <w:sz w:val="32"/>
          <w:szCs w:val="28"/>
          <w:highlight w:val="none"/>
          <w:lang w:val="en-US" w:eastAsia="zh-CN"/>
        </w:rPr>
        <w:t>5</w:t>
      </w:r>
      <w:r>
        <w:rPr>
          <w:rFonts w:hint="eastAsia" w:ascii="仿宋_GB2312" w:hAnsi="仿宋_GB2312" w:eastAsia="仿宋_GB2312" w:cs="仿宋_GB2312"/>
          <w:color w:val="auto"/>
          <w:sz w:val="32"/>
          <w:szCs w:val="28"/>
          <w:highlight w:val="none"/>
        </w:rPr>
        <w:t>年</w:t>
      </w:r>
      <w:r>
        <w:rPr>
          <w:rFonts w:hint="eastAsia" w:ascii="仿宋_GB2312" w:hAnsi="仿宋_GB2312" w:eastAsia="仿宋_GB2312" w:cs="仿宋_GB2312"/>
          <w:color w:val="auto"/>
          <w:sz w:val="32"/>
          <w:szCs w:val="28"/>
          <w:highlight w:val="none"/>
          <w:lang w:val="en-US" w:eastAsia="zh-CN"/>
        </w:rPr>
        <w:t>11</w:t>
      </w:r>
      <w:r>
        <w:rPr>
          <w:rFonts w:hint="eastAsia" w:ascii="仿宋_GB2312" w:hAnsi="仿宋_GB2312" w:eastAsia="仿宋_GB2312" w:cs="仿宋_GB2312"/>
          <w:color w:val="auto"/>
          <w:sz w:val="32"/>
          <w:szCs w:val="28"/>
          <w:highlight w:val="none"/>
        </w:rPr>
        <w:t>月，标准起草工作小组进行了广泛调研工作，查阅了大量的国内外文献资料，对糖料蔗规模种植高效高产全程机械化生产的前人研究成果进行系统总结。形成了标准的基本构架，对主要内容进行了讨论并对项目的工作进行了部署和安排。</w:t>
      </w:r>
    </w:p>
    <w:p w14:paraId="09305CF3">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202</w:t>
      </w:r>
      <w:r>
        <w:rPr>
          <w:rFonts w:hint="eastAsia" w:ascii="仿宋_GB2312" w:hAnsi="仿宋_GB2312" w:eastAsia="仿宋_GB2312" w:cs="仿宋_GB2312"/>
          <w:color w:val="auto"/>
          <w:sz w:val="32"/>
          <w:szCs w:val="28"/>
          <w:highlight w:val="none"/>
          <w:lang w:val="en-US" w:eastAsia="zh-CN"/>
        </w:rPr>
        <w:t>5</w:t>
      </w:r>
      <w:r>
        <w:rPr>
          <w:rFonts w:hint="eastAsia" w:ascii="仿宋_GB2312" w:hAnsi="仿宋_GB2312" w:eastAsia="仿宋_GB2312" w:cs="仿宋_GB2312"/>
          <w:color w:val="auto"/>
          <w:sz w:val="32"/>
          <w:szCs w:val="28"/>
          <w:highlight w:val="none"/>
        </w:rPr>
        <w:t>年</w:t>
      </w:r>
      <w:r>
        <w:rPr>
          <w:rFonts w:hint="eastAsia" w:ascii="仿宋_GB2312" w:hAnsi="仿宋_GB2312" w:eastAsia="仿宋_GB2312" w:cs="仿宋_GB2312"/>
          <w:color w:val="auto"/>
          <w:sz w:val="32"/>
          <w:szCs w:val="28"/>
          <w:highlight w:val="none"/>
          <w:lang w:val="en-US" w:eastAsia="zh-CN"/>
        </w:rPr>
        <w:t>12</w:t>
      </w:r>
      <w:r>
        <w:rPr>
          <w:rFonts w:hint="eastAsia" w:ascii="仿宋_GB2312" w:hAnsi="仿宋_GB2312" w:eastAsia="仿宋_GB2312" w:cs="仿宋_GB2312"/>
          <w:color w:val="auto"/>
          <w:sz w:val="32"/>
          <w:szCs w:val="28"/>
          <w:highlight w:val="none"/>
        </w:rPr>
        <w:t>月，在前期工作的基础之上，通过理清逻辑脉络，整合已有的参考资料中有关糖料蔗规模种植高效高产全程机械化生产要求，并结合糖料蔗规模种植高效高产全程机械化生产实际要求的基础上，按照简化、统一等原则编制完成团体标准《糖料蔗规模种植高效高产全程机械化生产技术规程》（草案）。</w:t>
      </w:r>
    </w:p>
    <w:p w14:paraId="1F6A96F1">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202</w:t>
      </w:r>
      <w:r>
        <w:rPr>
          <w:rFonts w:hint="eastAsia" w:ascii="仿宋_GB2312" w:hAnsi="仿宋_GB2312" w:eastAsia="仿宋_GB2312" w:cs="仿宋_GB2312"/>
          <w:color w:val="auto"/>
          <w:sz w:val="32"/>
          <w:szCs w:val="28"/>
          <w:highlight w:val="none"/>
          <w:lang w:val="en-US" w:eastAsia="zh-CN"/>
        </w:rPr>
        <w:t>6</w:t>
      </w:r>
      <w:r>
        <w:rPr>
          <w:rFonts w:hint="eastAsia" w:ascii="仿宋_GB2312" w:hAnsi="仿宋_GB2312" w:eastAsia="仿宋_GB2312" w:cs="仿宋_GB2312"/>
          <w:color w:val="auto"/>
          <w:sz w:val="32"/>
          <w:szCs w:val="28"/>
          <w:highlight w:val="none"/>
        </w:rPr>
        <w:t>年</w:t>
      </w:r>
      <w:r>
        <w:rPr>
          <w:rFonts w:hint="eastAsia" w:ascii="仿宋_GB2312" w:hAnsi="仿宋_GB2312" w:eastAsia="仿宋_GB2312" w:cs="仿宋_GB2312"/>
          <w:color w:val="auto"/>
          <w:sz w:val="32"/>
          <w:szCs w:val="28"/>
          <w:highlight w:val="none"/>
          <w:lang w:val="en-US" w:eastAsia="zh-CN"/>
        </w:rPr>
        <w:t>1</w:t>
      </w:r>
      <w:r>
        <w:rPr>
          <w:rFonts w:hint="eastAsia" w:ascii="仿宋_GB2312" w:hAnsi="仿宋_GB2312" w:eastAsia="仿宋_GB2312" w:cs="仿宋_GB2312"/>
          <w:color w:val="auto"/>
          <w:sz w:val="32"/>
          <w:szCs w:val="28"/>
          <w:highlight w:val="none"/>
        </w:rPr>
        <w:t>月，标准起草工作组到相关单位和科研机构进行调研，</w:t>
      </w:r>
      <w:r>
        <w:rPr>
          <w:rFonts w:hint="eastAsia" w:ascii="仿宋_GB2312" w:hAnsi="仿宋_GB2312" w:eastAsia="仿宋_GB2312" w:cs="仿宋_GB2312"/>
          <w:color w:val="auto"/>
          <w:sz w:val="32"/>
          <w:szCs w:val="28"/>
          <w:highlight w:val="none"/>
          <w:lang w:val="en-US" w:eastAsia="zh-CN"/>
        </w:rPr>
        <w:t>结合前期生产实践</w:t>
      </w:r>
      <w:r>
        <w:rPr>
          <w:rFonts w:hint="eastAsia" w:ascii="仿宋_GB2312" w:hAnsi="仿宋_GB2312" w:eastAsia="仿宋_GB2312" w:cs="仿宋_GB2312"/>
          <w:color w:val="auto"/>
          <w:sz w:val="32"/>
          <w:szCs w:val="28"/>
          <w:highlight w:val="none"/>
        </w:rPr>
        <w:t>验证。并实际征求意见，通过收集反馈了大量意见，</w:t>
      </w:r>
      <w:r>
        <w:rPr>
          <w:rFonts w:hint="eastAsia" w:ascii="仿宋_GB2312" w:hAnsi="仿宋_GB2312" w:eastAsia="仿宋_GB2312" w:cs="仿宋_GB2312"/>
          <w:color w:val="auto"/>
          <w:sz w:val="32"/>
          <w:szCs w:val="28"/>
          <w:highlight w:val="none"/>
          <w:lang w:val="en-US" w:eastAsia="zh-CN"/>
        </w:rPr>
        <w:t>1</w:t>
      </w:r>
      <w:r>
        <w:rPr>
          <w:rFonts w:hint="eastAsia" w:ascii="仿宋_GB2312" w:hAnsi="仿宋_GB2312" w:eastAsia="仿宋_GB2312" w:cs="仿宋_GB2312"/>
          <w:color w:val="auto"/>
          <w:sz w:val="32"/>
          <w:szCs w:val="28"/>
          <w:highlight w:val="none"/>
        </w:rPr>
        <w:t>月</w:t>
      </w:r>
      <w:r>
        <w:rPr>
          <w:rFonts w:hint="eastAsia" w:ascii="仿宋_GB2312" w:hAnsi="仿宋_GB2312" w:eastAsia="仿宋_GB2312" w:cs="仿宋_GB2312"/>
          <w:color w:val="auto"/>
          <w:sz w:val="32"/>
          <w:szCs w:val="28"/>
          <w:highlight w:val="none"/>
          <w:lang w:val="en-US" w:eastAsia="zh-CN"/>
        </w:rPr>
        <w:t>27日</w:t>
      </w:r>
      <w:r>
        <w:rPr>
          <w:rFonts w:hint="eastAsia" w:ascii="仿宋_GB2312" w:hAnsi="仿宋_GB2312" w:eastAsia="仿宋_GB2312" w:cs="仿宋_GB2312"/>
          <w:color w:val="auto"/>
          <w:sz w:val="32"/>
          <w:szCs w:val="28"/>
          <w:highlight w:val="none"/>
        </w:rPr>
        <w:t>标准编制工作组召开会议，对标准草案进行研究讨论。</w:t>
      </w:r>
      <w:r>
        <w:rPr>
          <w:rFonts w:hint="eastAsia" w:ascii="仿宋_GB2312" w:hAnsi="仿宋_GB2312" w:cs="仿宋_GB2312"/>
          <w:color w:val="auto"/>
          <w:sz w:val="32"/>
          <w:szCs w:val="28"/>
          <w:highlight w:val="none"/>
          <w:lang w:val="en-US" w:eastAsia="zh-CN"/>
        </w:rPr>
        <w:t>2026年2月，根据前期会议讨论结果，</w:t>
      </w:r>
      <w:r>
        <w:rPr>
          <w:rFonts w:hint="eastAsia" w:ascii="仿宋_GB2312" w:hAnsi="仿宋_GB2312" w:eastAsia="仿宋_GB2312" w:cs="仿宋_GB2312"/>
          <w:color w:val="auto"/>
          <w:sz w:val="32"/>
          <w:szCs w:val="28"/>
          <w:highlight w:val="none"/>
        </w:rPr>
        <w:t>进一步讨论完善标准草案，形成团体标准《糖料蔗规模种植高效高产全程机械化生产技术规程》（征求意见稿）和（征求意见稿）编制说明。</w:t>
      </w:r>
    </w:p>
    <w:p w14:paraId="3B832357">
      <w:pPr>
        <w:keepNext w:val="0"/>
        <w:keepLines w:val="0"/>
        <w:pageBreakBefore w:val="0"/>
        <w:kinsoku/>
        <w:overflowPunct/>
        <w:topLinePunct w:val="0"/>
        <w:autoSpaceDE w:val="0"/>
        <w:autoSpaceDN w:val="0"/>
        <w:bidi w:val="0"/>
        <w:adjustRightInd w:val="0"/>
        <w:snapToGrid/>
        <w:jc w:val="left"/>
        <w:textAlignment w:val="auto"/>
        <w:rPr>
          <w:rFonts w:hint="eastAsia" w:ascii="仿宋_GB2312" w:hAnsi="仿宋_GB2312" w:eastAsia="仿宋_GB2312" w:cs="仿宋_GB2312"/>
          <w:bCs/>
          <w:color w:val="auto"/>
          <w:sz w:val="32"/>
          <w:szCs w:val="32"/>
          <w:highlight w:val="none"/>
        </w:rPr>
      </w:pPr>
      <w:bookmarkStart w:id="0" w:name="_Toc526940083"/>
      <w:r>
        <w:rPr>
          <w:rFonts w:hint="eastAsia" w:ascii="仿宋_GB2312" w:hAnsi="仿宋_GB2312" w:eastAsia="仿宋_GB2312" w:cs="仿宋_GB2312"/>
          <w:bCs/>
          <w:color w:val="auto"/>
          <w:sz w:val="32"/>
          <w:szCs w:val="32"/>
          <w:highlight w:val="none"/>
        </w:rPr>
        <w:t>四、</w:t>
      </w:r>
      <w:bookmarkEnd w:id="0"/>
      <w:r>
        <w:rPr>
          <w:rFonts w:hint="eastAsia" w:ascii="仿宋_GB2312" w:hAnsi="仿宋_GB2312" w:eastAsia="仿宋_GB2312" w:cs="仿宋_GB2312"/>
          <w:bCs/>
          <w:color w:val="auto"/>
          <w:sz w:val="32"/>
          <w:szCs w:val="32"/>
          <w:highlight w:val="none"/>
        </w:rPr>
        <w:t>制定标准的原则和依据，与现行法律、法规的关系，与有关国家标准、行业标准的协调情况</w:t>
      </w:r>
    </w:p>
    <w:p w14:paraId="30EFA250">
      <w:pPr>
        <w:pStyle w:val="11"/>
        <w:keepNext w:val="0"/>
        <w:keepLines w:val="0"/>
        <w:pageBreakBefore w:val="0"/>
        <w:kinsoku/>
        <w:overflowPunct/>
        <w:topLinePunct w:val="0"/>
        <w:bidi w:val="0"/>
        <w:snapToGrid/>
        <w:spacing w:line="560" w:lineRule="exact"/>
        <w:ind w:firstLine="0" w:firstLineChars="0"/>
        <w:textAlignment w:val="auto"/>
        <w:outlineLvl w:val="1"/>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（一）编制原则</w:t>
      </w:r>
    </w:p>
    <w:p w14:paraId="7432AB81">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hint="eastAsia" w:ascii="仿宋_GB2312" w:hAnsi="仿宋_GB2312" w:eastAsia="仿宋_GB2312" w:cs="仿宋_GB2312"/>
          <w:b/>
          <w:bCs/>
          <w:color w:val="auto"/>
          <w:kern w:val="0"/>
          <w:sz w:val="32"/>
          <w:szCs w:val="32"/>
          <w:highlight w:val="none"/>
        </w:rPr>
      </w:pPr>
      <w:r>
        <w:rPr>
          <w:rFonts w:hint="eastAsia" w:ascii="仿宋_GB2312" w:hAnsi="仿宋_GB2312" w:eastAsia="仿宋_GB2312" w:cs="仿宋_GB2312"/>
          <w:b/>
          <w:bCs/>
          <w:color w:val="auto"/>
          <w:kern w:val="0"/>
          <w:sz w:val="32"/>
          <w:szCs w:val="32"/>
          <w:highlight w:val="none"/>
        </w:rPr>
        <w:t>1、实用性原则</w:t>
      </w:r>
    </w:p>
    <w:p w14:paraId="096AD80F">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本文件是在充分收集相关资料和文献，分析糖料蔗规模种植高效高产全程机械化生产当前现状，在现有相关糖料蔗规模种植高效高产全程机械化生产要求的基础上，结合编制单位多年相关经验而总结起草的，符合当前糖料蔗规模种植高效高产全程机械化生产发展的方向，具有较强的实用性和可操作性。</w:t>
      </w:r>
    </w:p>
    <w:p w14:paraId="62EF7D35">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hint="eastAsia" w:ascii="仿宋_GB2312" w:hAnsi="仿宋_GB2312" w:eastAsia="仿宋_GB2312" w:cs="仿宋_GB2312"/>
          <w:b/>
          <w:bCs/>
          <w:color w:val="auto"/>
          <w:kern w:val="0"/>
          <w:sz w:val="32"/>
          <w:szCs w:val="32"/>
          <w:highlight w:val="none"/>
        </w:rPr>
      </w:pPr>
      <w:r>
        <w:rPr>
          <w:rFonts w:hint="eastAsia" w:ascii="仿宋_GB2312" w:hAnsi="仿宋_GB2312" w:eastAsia="仿宋_GB2312" w:cs="仿宋_GB2312"/>
          <w:b/>
          <w:bCs/>
          <w:color w:val="auto"/>
          <w:kern w:val="0"/>
          <w:sz w:val="32"/>
          <w:szCs w:val="32"/>
          <w:highlight w:val="none"/>
        </w:rPr>
        <w:t>2、协调性原则</w:t>
      </w:r>
    </w:p>
    <w:p w14:paraId="18A33837">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本文件编写过程中注意了与糖料蔗规模种植高效高产全程机械化生产相关法律法规的协调问题，在内容上与现行法律法规、标准协调一致。</w:t>
      </w:r>
    </w:p>
    <w:p w14:paraId="48B06747">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hint="eastAsia" w:ascii="仿宋_GB2312" w:hAnsi="仿宋_GB2312" w:eastAsia="仿宋_GB2312" w:cs="仿宋_GB2312"/>
          <w:b/>
          <w:bCs/>
          <w:color w:val="auto"/>
          <w:kern w:val="0"/>
          <w:sz w:val="32"/>
          <w:szCs w:val="32"/>
          <w:highlight w:val="none"/>
        </w:rPr>
      </w:pPr>
      <w:r>
        <w:rPr>
          <w:rFonts w:hint="eastAsia" w:ascii="仿宋_GB2312" w:hAnsi="仿宋_GB2312" w:eastAsia="仿宋_GB2312" w:cs="仿宋_GB2312"/>
          <w:b/>
          <w:bCs/>
          <w:color w:val="auto"/>
          <w:kern w:val="0"/>
          <w:sz w:val="32"/>
          <w:szCs w:val="32"/>
          <w:highlight w:val="none"/>
        </w:rPr>
        <w:t>3、规范性原则</w:t>
      </w:r>
    </w:p>
    <w:p w14:paraId="3276EBB5">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本文件严格参照GB/T 1.1—2020《标准化工作导则  第1部分：标准化文件的结构和起草规则》编写本标准的内容，保证标准的编写质量。</w:t>
      </w:r>
    </w:p>
    <w:p w14:paraId="173D3B39">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hint="eastAsia" w:ascii="仿宋_GB2312" w:hAnsi="仿宋_GB2312" w:eastAsia="仿宋_GB2312" w:cs="仿宋_GB2312"/>
          <w:b/>
          <w:bCs/>
          <w:color w:val="auto"/>
          <w:kern w:val="0"/>
          <w:sz w:val="32"/>
          <w:szCs w:val="32"/>
          <w:highlight w:val="none"/>
        </w:rPr>
      </w:pPr>
      <w:r>
        <w:rPr>
          <w:rFonts w:hint="eastAsia" w:ascii="仿宋_GB2312" w:hAnsi="仿宋_GB2312" w:eastAsia="仿宋_GB2312" w:cs="仿宋_GB2312"/>
          <w:b/>
          <w:bCs/>
          <w:color w:val="auto"/>
          <w:kern w:val="0"/>
          <w:sz w:val="32"/>
          <w:szCs w:val="32"/>
          <w:highlight w:val="none"/>
        </w:rPr>
        <w:t>4、前瞻性原则</w:t>
      </w:r>
    </w:p>
    <w:p w14:paraId="2315C397">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本文件在兼顾当前区内糖料蔗规模种植高效高产全程机械化生产现实情况的同时，还考虑到了糖料蔗规模种植高效高产全程机械化生产快速发展的趋势和需要，在标准中体现了个别特色性、前瞻性和先进性条款，作为对糖料蔗规模种植高效高产全程机械化生产发展的指导。</w:t>
      </w:r>
    </w:p>
    <w:p w14:paraId="323DB155">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textAlignment w:val="auto"/>
        <w:outlineLvl w:val="1"/>
        <w:rPr>
          <w:rFonts w:hint="eastAsia" w:ascii="仿宋_GB2312" w:hAnsi="仿宋_GB2312" w:eastAsia="仿宋_GB2312" w:cs="仿宋_GB2312"/>
          <w:b/>
          <w:bCs/>
          <w:color w:val="auto"/>
          <w:kern w:val="0"/>
          <w:sz w:val="32"/>
          <w:szCs w:val="32"/>
          <w:highlight w:val="none"/>
        </w:rPr>
      </w:pPr>
      <w:r>
        <w:rPr>
          <w:rFonts w:hint="eastAsia" w:ascii="仿宋_GB2312" w:hAnsi="仿宋_GB2312" w:eastAsia="仿宋_GB2312" w:cs="仿宋_GB2312"/>
          <w:b/>
          <w:bCs/>
          <w:color w:val="auto"/>
          <w:kern w:val="0"/>
          <w:sz w:val="32"/>
          <w:szCs w:val="32"/>
          <w:highlight w:val="none"/>
        </w:rPr>
        <w:t>（二）编制依据</w:t>
      </w:r>
    </w:p>
    <w:p w14:paraId="03C8CA65">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本标准严格按照GB/T 1.1—2020《标准化工作导则  第1部分：标准化文件的结构和起草规则》的规则起草，标准主要内容参考相关标准文件并结合起草单位多年的相关经验和实践验证情况总结进行起草。</w:t>
      </w:r>
    </w:p>
    <w:p w14:paraId="4909473A">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textAlignment w:val="auto"/>
        <w:outlineLvl w:val="1"/>
        <w:rPr>
          <w:rFonts w:hint="eastAsia" w:ascii="仿宋_GB2312" w:hAnsi="仿宋_GB2312" w:eastAsia="仿宋_GB2312" w:cs="仿宋_GB2312"/>
          <w:b/>
          <w:bCs/>
          <w:color w:val="auto"/>
          <w:kern w:val="0"/>
          <w:sz w:val="32"/>
          <w:szCs w:val="32"/>
          <w:highlight w:val="none"/>
        </w:rPr>
      </w:pPr>
      <w:r>
        <w:rPr>
          <w:rFonts w:hint="eastAsia" w:ascii="仿宋_GB2312" w:hAnsi="仿宋_GB2312" w:eastAsia="仿宋_GB2312" w:cs="仿宋_GB2312"/>
          <w:b/>
          <w:bCs/>
          <w:color w:val="auto"/>
          <w:kern w:val="0"/>
          <w:sz w:val="32"/>
          <w:szCs w:val="32"/>
          <w:highlight w:val="none"/>
        </w:rPr>
        <w:t>（三）与现行法律、法规的关系，与有关国家标准、行业标准的协调情况</w:t>
      </w:r>
    </w:p>
    <w:p w14:paraId="03FE614D">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本编制工作组承诺本标准内容与各项指标不违反相关法律法规要求，且不低于国家强制性标准、推荐性国家标准和行业标准要求。</w:t>
      </w:r>
    </w:p>
    <w:p w14:paraId="753754A3">
      <w:pPr>
        <w:keepNext w:val="0"/>
        <w:keepLines w:val="0"/>
        <w:pageBreakBefore w:val="0"/>
        <w:kinsoku/>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与“</w:t>
      </w:r>
      <w:r>
        <w:rPr>
          <w:rFonts w:hint="eastAsia" w:ascii="仿宋_GB2312" w:hAnsi="仿宋_GB2312" w:cs="仿宋_GB2312"/>
          <w:color w:val="auto"/>
          <w:sz w:val="32"/>
          <w:szCs w:val="28"/>
          <w:highlight w:val="none"/>
          <w:lang w:val="en-US" w:eastAsia="zh-CN"/>
        </w:rPr>
        <w:t>甘</w:t>
      </w:r>
      <w:r>
        <w:rPr>
          <w:rFonts w:hint="eastAsia" w:ascii="仿宋_GB2312" w:hAnsi="仿宋_GB2312" w:eastAsia="仿宋_GB2312" w:cs="仿宋_GB2312"/>
          <w:color w:val="auto"/>
          <w:sz w:val="32"/>
          <w:szCs w:val="28"/>
          <w:highlight w:val="none"/>
        </w:rPr>
        <w:t>蔗”“栽培”“种植”相关的标准主要有：</w:t>
      </w:r>
    </w:p>
    <w:p w14:paraId="29FA2AD1">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《NY/T 3889-2021  甘蔗全程机械化生产技术规范》《DB53/T 364-2011  甘蔗机械化生产技术规范》《DB4408/T 36-2024  甘蔗机械化种植技术规程》《DB5331/T 51-2024  甘蔗机械化种植管理技术规程》《T/GXAS 624-2023  糖料蔗收后即管破垄施肥起垄一体化作业规范》《T/GXAF 0004-2021  糖料蔗化肥施用限量》《T/CAMA 39-2021  糖料蔗现代农场全程机械化生产技术规程》。</w:t>
      </w:r>
    </w:p>
    <w:p w14:paraId="7FA8BB82">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综上，国内暂未制定有糖料蔗规模种植高效高产全程机械化生产相关的标准，因此有必要根据实际情况研制团体标准《糖料蔗规模种植高效高产全程机械化生产</w:t>
      </w:r>
      <w:r>
        <w:rPr>
          <w:rFonts w:hint="eastAsia" w:ascii="仿宋_GB2312" w:hAnsi="仿宋_GB2312" w:cs="仿宋_GB2312"/>
          <w:color w:val="auto"/>
          <w:sz w:val="32"/>
          <w:szCs w:val="28"/>
          <w:highlight w:val="none"/>
          <w:lang w:val="en-US" w:eastAsia="zh-CN"/>
        </w:rPr>
        <w:t>技术规程</w:t>
      </w:r>
      <w:r>
        <w:rPr>
          <w:rFonts w:hint="eastAsia" w:ascii="仿宋_GB2312" w:hAnsi="仿宋_GB2312" w:eastAsia="仿宋_GB2312" w:cs="仿宋_GB2312"/>
          <w:color w:val="auto"/>
          <w:sz w:val="32"/>
          <w:szCs w:val="28"/>
          <w:highlight w:val="none"/>
        </w:rPr>
        <w:t>》，统一规范糖料蔗规模种植高效高产全程机械化生产技术要求，提高糖料蔗种植效率和质量，促进糖料蔗产业高质量发展。</w:t>
      </w:r>
    </w:p>
    <w:p w14:paraId="14FD2F15">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仿宋_GB2312" w:eastAsia="仿宋_GB2312" w:cs="仿宋_GB2312"/>
          <w:color w:val="auto"/>
          <w:sz w:val="32"/>
          <w:szCs w:val="32"/>
          <w:highlight w:val="none"/>
        </w:rPr>
      </w:pPr>
      <w:bookmarkStart w:id="1" w:name="_Toc526940084"/>
      <w:r>
        <w:rPr>
          <w:rFonts w:hint="eastAsia" w:ascii="仿宋_GB2312" w:hAnsi="仿宋_GB2312" w:eastAsia="仿宋_GB2312" w:cs="仿宋_GB2312"/>
          <w:color w:val="auto"/>
          <w:sz w:val="32"/>
          <w:szCs w:val="32"/>
          <w:highlight w:val="none"/>
        </w:rPr>
        <w:t>五、</w:t>
      </w:r>
      <w:bookmarkEnd w:id="1"/>
      <w:r>
        <w:rPr>
          <w:rFonts w:hint="eastAsia" w:ascii="仿宋_GB2312" w:hAnsi="仿宋_GB2312" w:eastAsia="仿宋_GB2312" w:cs="仿宋_GB2312"/>
          <w:color w:val="auto"/>
          <w:sz w:val="32"/>
          <w:szCs w:val="32"/>
          <w:highlight w:val="none"/>
        </w:rPr>
        <w:t>主要条款的说明</w:t>
      </w:r>
    </w:p>
    <w:p w14:paraId="7FA52DEF">
      <w:pPr>
        <w:keepNext w:val="0"/>
        <w:keepLines w:val="0"/>
        <w:pageBreakBefore w:val="0"/>
        <w:kinsoku/>
        <w:overflowPunct/>
        <w:topLinePunct w:val="0"/>
        <w:bidi w:val="0"/>
        <w:snapToGrid/>
        <w:ind w:firstLine="640" w:firstLineChars="200"/>
        <w:textAlignment w:val="auto"/>
        <w:rPr>
          <w:rFonts w:hint="eastAsia" w:ascii="仿宋_GB2312" w:hAnsi="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zh-CN"/>
        </w:rPr>
        <w:t>广西壮族自治区农业科学院等单位自2017年开始研究糖料蔗全程机械化种植技术，分别在南宁市的武鸣区、隆安县、宾阳县；崇左市的江州区、龙州县、扶绥县、大新县；来宾市的兴宾区、武宣县、象州县；柳州市的柳城县、柳江区、柳南区、鹿寨县；百色市的田东县，河池市的罗城县、宜州市，贵港市的覃塘区等蔗区进行试验示范和推广应用，面积35万亩以上</w:t>
      </w:r>
      <w:r>
        <w:rPr>
          <w:rFonts w:hint="eastAsia" w:ascii="仿宋_GB2312" w:hAnsi="仿宋_GB2312" w:cs="仿宋_GB2312"/>
          <w:color w:val="auto"/>
          <w:sz w:val="32"/>
          <w:szCs w:val="32"/>
          <w:highlight w:val="none"/>
          <w:lang w:val="zh-CN"/>
        </w:rPr>
        <w:t>。</w:t>
      </w:r>
      <w:r>
        <w:rPr>
          <w:rFonts w:hint="eastAsia" w:ascii="仿宋_GB2312" w:hAnsi="仿宋_GB2312" w:cs="仿宋_GB2312"/>
          <w:color w:val="auto"/>
          <w:sz w:val="32"/>
          <w:szCs w:val="32"/>
          <w:highlight w:val="none"/>
          <w:lang w:val="en-US" w:eastAsia="zh-CN"/>
        </w:rPr>
        <w:t>通过技术总结，形成了广西糖料蔗生产先进技术——甘蔗规模种植高效高产全程机械化生产技术在</w:t>
      </w:r>
      <w:r>
        <w:rPr>
          <w:rFonts w:hint="eastAsia" w:ascii="仿宋_GB2312" w:hAnsi="仿宋_GB2312" w:cs="仿宋_GB2312"/>
          <w:color w:val="auto"/>
          <w:sz w:val="32"/>
          <w:szCs w:val="32"/>
          <w:highlight w:val="none"/>
          <w:lang w:val="en-US" w:eastAsia="zh-CN"/>
        </w:rPr>
        <w:fldChar w:fldCharType="begin"/>
      </w:r>
      <w:r>
        <w:rPr>
          <w:rFonts w:hint="eastAsia" w:ascii="仿宋_GB2312" w:hAnsi="仿宋_GB2312" w:cs="仿宋_GB2312"/>
          <w:color w:val="auto"/>
          <w:sz w:val="32"/>
          <w:szCs w:val="32"/>
          <w:highlight w:val="none"/>
          <w:lang w:val="en-US" w:eastAsia="zh-CN"/>
        </w:rPr>
        <w:instrText xml:space="preserve"> HYPERLINK "http://www.gxzf.gov.cn/hdzsk/zzqtyfzb/" \o "自治区糖业发展办" \t "http://www.gxzf.gov.cn/hdzsk/zzqtyfzb/kpzs/_self" </w:instrText>
      </w:r>
      <w:r>
        <w:rPr>
          <w:rFonts w:hint="eastAsia" w:ascii="仿宋_GB2312" w:hAnsi="仿宋_GB2312" w:cs="仿宋_GB2312"/>
          <w:color w:val="auto"/>
          <w:sz w:val="32"/>
          <w:szCs w:val="32"/>
          <w:highlight w:val="none"/>
          <w:lang w:val="en-US" w:eastAsia="zh-CN"/>
        </w:rPr>
        <w:fldChar w:fldCharType="separate"/>
      </w:r>
      <w:r>
        <w:rPr>
          <w:rFonts w:hint="eastAsia" w:ascii="仿宋_GB2312" w:hAnsi="仿宋_GB2312" w:cs="仿宋_GB2312"/>
          <w:color w:val="auto"/>
          <w:sz w:val="32"/>
          <w:szCs w:val="32"/>
          <w:highlight w:val="none"/>
          <w:lang w:val="en-US" w:eastAsia="zh-CN"/>
        </w:rPr>
        <w:t>自治区糖业发展办</w:t>
      </w:r>
      <w:r>
        <w:rPr>
          <w:rFonts w:hint="eastAsia" w:ascii="仿宋_GB2312" w:hAnsi="仿宋_GB2312" w:cs="仿宋_GB2312"/>
          <w:color w:val="auto"/>
          <w:sz w:val="32"/>
          <w:szCs w:val="32"/>
          <w:highlight w:val="none"/>
          <w:lang w:val="en-US" w:eastAsia="zh-CN"/>
        </w:rPr>
        <w:fldChar w:fldCharType="end"/>
      </w:r>
      <w:r>
        <w:rPr>
          <w:rFonts w:hint="eastAsia" w:ascii="仿宋_GB2312" w:hAnsi="仿宋_GB2312" w:cs="仿宋_GB2312"/>
          <w:color w:val="auto"/>
          <w:sz w:val="32"/>
          <w:szCs w:val="32"/>
          <w:highlight w:val="none"/>
          <w:lang w:val="en-US" w:eastAsia="zh-CN"/>
        </w:rPr>
        <w:t>的</w:t>
      </w:r>
      <w:r>
        <w:rPr>
          <w:rFonts w:hint="eastAsia" w:ascii="仿宋_GB2312" w:hAnsi="仿宋_GB2312" w:cs="仿宋_GB2312"/>
          <w:color w:val="auto"/>
          <w:sz w:val="32"/>
          <w:szCs w:val="32"/>
          <w:highlight w:val="none"/>
          <w:lang w:val="en-US" w:eastAsia="zh-CN"/>
        </w:rPr>
        <w:fldChar w:fldCharType="begin"/>
      </w:r>
      <w:r>
        <w:rPr>
          <w:rFonts w:hint="eastAsia" w:ascii="仿宋_GB2312" w:hAnsi="仿宋_GB2312" w:cs="仿宋_GB2312"/>
          <w:color w:val="auto"/>
          <w:sz w:val="32"/>
          <w:szCs w:val="32"/>
          <w:highlight w:val="none"/>
          <w:lang w:val="en-US" w:eastAsia="zh-CN"/>
        </w:rPr>
        <w:instrText xml:space="preserve"> HYPERLINK "http://www.gxzf.gov.cn/hdzsk/zzqtyfzb/kpzs/" \o "科普知识" \t "http://www.gxzf.gov.cn/hdzsk/zzqtyfzb/kpzs/_self" </w:instrText>
      </w:r>
      <w:r>
        <w:rPr>
          <w:rFonts w:hint="eastAsia" w:ascii="仿宋_GB2312" w:hAnsi="仿宋_GB2312" w:cs="仿宋_GB2312"/>
          <w:color w:val="auto"/>
          <w:sz w:val="32"/>
          <w:szCs w:val="32"/>
          <w:highlight w:val="none"/>
          <w:lang w:val="en-US" w:eastAsia="zh-CN"/>
        </w:rPr>
        <w:fldChar w:fldCharType="separate"/>
      </w:r>
      <w:r>
        <w:rPr>
          <w:rFonts w:hint="eastAsia" w:ascii="仿宋_GB2312" w:hAnsi="仿宋_GB2312" w:cs="仿宋_GB2312"/>
          <w:color w:val="auto"/>
          <w:sz w:val="32"/>
          <w:szCs w:val="32"/>
          <w:highlight w:val="none"/>
          <w:lang w:val="en-US" w:eastAsia="zh-CN"/>
        </w:rPr>
        <w:t>科普知识</w:t>
      </w:r>
      <w:r>
        <w:rPr>
          <w:rFonts w:hint="eastAsia" w:ascii="仿宋_GB2312" w:hAnsi="仿宋_GB2312" w:cs="仿宋_GB2312"/>
          <w:color w:val="auto"/>
          <w:sz w:val="32"/>
          <w:szCs w:val="32"/>
          <w:highlight w:val="none"/>
          <w:lang w:val="en-US" w:eastAsia="zh-CN"/>
        </w:rPr>
        <w:fldChar w:fldCharType="end"/>
      </w:r>
      <w:r>
        <w:rPr>
          <w:rFonts w:hint="eastAsia" w:ascii="仿宋_GB2312" w:hAnsi="仿宋_GB2312" w:cs="仿宋_GB2312"/>
          <w:color w:val="auto"/>
          <w:sz w:val="32"/>
          <w:szCs w:val="32"/>
          <w:highlight w:val="none"/>
          <w:lang w:val="en-US" w:eastAsia="zh-CN"/>
        </w:rPr>
        <w:t>专栏进行宣传推广，取得了良好的效果。</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6CD6C3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174" w:type="dxa"/>
          </w:tcPr>
          <w:p w14:paraId="63656065">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3599815" cy="2101215"/>
                  <wp:effectExtent l="0" t="0" r="635" b="1333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3599815" cy="2101215"/>
                          </a:xfrm>
                          <a:prstGeom prst="rect">
                            <a:avLst/>
                          </a:prstGeom>
                          <a:noFill/>
                          <a:ln>
                            <a:noFill/>
                          </a:ln>
                        </pic:spPr>
                      </pic:pic>
                    </a:graphicData>
                  </a:graphic>
                </wp:inline>
              </w:drawing>
            </w:r>
          </w:p>
        </w:tc>
      </w:tr>
      <w:tr w14:paraId="600BA8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307688FF">
            <w:pPr>
              <w:keepNext w:val="0"/>
              <w:keepLines w:val="0"/>
              <w:pageBreakBefore w:val="0"/>
              <w:suppressLineNumbers w:val="0"/>
              <w:kinsoku/>
              <w:overflowPunct/>
              <w:topLinePunct w:val="0"/>
              <w:bidi w:val="0"/>
              <w:snapToGrid/>
              <w:spacing w:before="0" w:beforeAutospacing="0" w:after="0" w:afterAutospacing="0"/>
              <w:ind w:left="0" w:right="0"/>
              <w:jc w:val="center"/>
              <w:textAlignment w:val="auto"/>
              <w:rPr>
                <w:rFonts w:hint="default" w:ascii="仿宋_GB2312" w:hAnsi="宋体" w:eastAsia="仿宋_GB2312"/>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图1 广西糖料蔗生产先进技术推广</w:t>
            </w:r>
          </w:p>
        </w:tc>
      </w:tr>
    </w:tbl>
    <w:p w14:paraId="5003E715">
      <w:pPr>
        <w:keepNext w:val="0"/>
        <w:keepLines w:val="0"/>
        <w:pageBreakBefore w:val="0"/>
        <w:kinsoku/>
        <w:overflowPunct/>
        <w:topLinePunct w:val="0"/>
        <w:bidi w:val="0"/>
        <w:snapToGrid/>
        <w:ind w:firstLine="640" w:firstLineChars="200"/>
        <w:textAlignment w:val="auto"/>
        <w:rPr>
          <w:rFonts w:hint="eastAsia" w:ascii="仿宋_GB2312" w:hAnsi="仿宋_GB2312" w:eastAsia="仿宋_GB2312" w:cs="仿宋_GB2312"/>
          <w:color w:val="auto"/>
          <w:sz w:val="32"/>
          <w:szCs w:val="32"/>
          <w:highlight w:val="none"/>
          <w:lang w:val="zh-CN"/>
        </w:rPr>
      </w:pPr>
      <w:r>
        <w:rPr>
          <w:rFonts w:hint="eastAsia" w:ascii="仿宋_GB2312" w:hAnsi="仿宋_GB2312" w:eastAsia="仿宋_GB2312" w:cs="仿宋_GB2312"/>
          <w:color w:val="auto"/>
          <w:sz w:val="32"/>
          <w:szCs w:val="32"/>
          <w:highlight w:val="none"/>
          <w:lang w:val="zh-CN"/>
        </w:rPr>
        <w:t>团体标准《</w:t>
      </w:r>
      <w:r>
        <w:rPr>
          <w:rFonts w:hint="eastAsia" w:ascii="仿宋_GB2312" w:hAnsi="仿宋_GB2312" w:eastAsia="仿宋_GB2312" w:cs="仿宋_GB2312"/>
          <w:color w:val="auto"/>
          <w:sz w:val="32"/>
          <w:szCs w:val="28"/>
          <w:highlight w:val="none"/>
        </w:rPr>
        <w:t>糖料蔗规模种植高效高产全程机械化生产</w:t>
      </w:r>
      <w:r>
        <w:rPr>
          <w:rFonts w:hint="eastAsia" w:ascii="仿宋_GB2312" w:hAnsi="仿宋_GB2312" w:cs="仿宋_GB2312"/>
          <w:color w:val="auto"/>
          <w:sz w:val="32"/>
          <w:szCs w:val="28"/>
          <w:highlight w:val="none"/>
          <w:lang w:val="en-US" w:eastAsia="zh-CN"/>
        </w:rPr>
        <w:t>技术规程</w:t>
      </w:r>
      <w:r>
        <w:rPr>
          <w:rFonts w:hint="eastAsia" w:ascii="仿宋_GB2312" w:hAnsi="仿宋_GB2312" w:eastAsia="仿宋_GB2312" w:cs="仿宋_GB2312"/>
          <w:color w:val="auto"/>
          <w:sz w:val="32"/>
          <w:szCs w:val="32"/>
          <w:highlight w:val="none"/>
          <w:lang w:val="zh-CN"/>
        </w:rPr>
        <w:t>》的主要章节内容包括：</w:t>
      </w:r>
      <w:r>
        <w:rPr>
          <w:rFonts w:hint="eastAsia" w:ascii="仿宋_GB2312" w:hAnsi="仿宋_GB2312" w:eastAsia="仿宋_GB2312" w:cs="仿宋_GB2312"/>
          <w:color w:val="auto"/>
          <w:sz w:val="32"/>
          <w:szCs w:val="28"/>
          <w:highlight w:val="none"/>
          <w:lang w:val="en-US" w:eastAsia="zh-CN"/>
        </w:rPr>
        <w:t>宜机化改造、耕整地、种植、田间管理、联合收获、宿根管理</w:t>
      </w:r>
      <w:r>
        <w:rPr>
          <w:rFonts w:hint="eastAsia" w:ascii="仿宋_GB2312" w:hAnsi="仿宋_GB2312" w:eastAsia="仿宋_GB2312" w:cs="仿宋_GB2312"/>
          <w:color w:val="auto"/>
          <w:sz w:val="32"/>
          <w:szCs w:val="28"/>
          <w:highlight w:val="none"/>
          <w:lang w:val="zh-CN"/>
        </w:rPr>
        <w:t>。本文件主要内</w:t>
      </w:r>
      <w:r>
        <w:rPr>
          <w:rFonts w:hint="eastAsia" w:ascii="仿宋_GB2312" w:hAnsi="仿宋_GB2312" w:eastAsia="仿宋_GB2312" w:cs="仿宋_GB2312"/>
          <w:color w:val="auto"/>
          <w:sz w:val="32"/>
          <w:szCs w:val="32"/>
          <w:highlight w:val="none"/>
          <w:lang w:val="zh-CN"/>
        </w:rPr>
        <w:t>容及依据来源说明如下：</w:t>
      </w:r>
    </w:p>
    <w:p w14:paraId="0272EA31">
      <w:pPr>
        <w:keepNext w:val="0"/>
        <w:keepLines w:val="0"/>
        <w:pageBreakBefore w:val="0"/>
        <w:numPr>
          <w:ilvl w:val="0"/>
          <w:numId w:val="0"/>
        </w:numPr>
        <w:kinsoku/>
        <w:overflowPunct/>
        <w:topLinePunct w:val="0"/>
        <w:bidi w:val="0"/>
        <w:snapToGrid/>
        <w:ind w:left="0" w:leftChars="0" w:firstLine="643" w:firstLineChars="200"/>
        <w:textAlignment w:val="auto"/>
        <w:rPr>
          <w:rFonts w:hint="eastAsia" w:ascii="仿宋_GB2312" w:hAnsi="宋体" w:cs="Times New Roman"/>
          <w:b/>
          <w:color w:val="auto"/>
          <w:kern w:val="2"/>
          <w:sz w:val="32"/>
          <w:szCs w:val="32"/>
          <w:highlight w:val="none"/>
          <w:lang w:val="en-US" w:eastAsia="zh-CN" w:bidi="ar-SA"/>
        </w:rPr>
      </w:pPr>
      <w:r>
        <w:rPr>
          <w:rFonts w:hint="eastAsia" w:ascii="仿宋_GB2312" w:hAnsi="宋体" w:eastAsia="仿宋_GB2312" w:cs="Times New Roman"/>
          <w:b/>
          <w:color w:val="auto"/>
          <w:kern w:val="2"/>
          <w:sz w:val="32"/>
          <w:szCs w:val="32"/>
          <w:lang w:val="en-US" w:eastAsia="zh-CN" w:bidi="ar-SA"/>
        </w:rPr>
        <w:t>（一）</w:t>
      </w:r>
      <w:r>
        <w:rPr>
          <w:rFonts w:hint="eastAsia" w:ascii="仿宋_GB2312" w:hAnsi="宋体" w:cs="Times New Roman"/>
          <w:b/>
          <w:color w:val="auto"/>
          <w:kern w:val="2"/>
          <w:sz w:val="32"/>
          <w:szCs w:val="32"/>
          <w:highlight w:val="none"/>
          <w:lang w:val="en-US" w:eastAsia="zh-CN" w:bidi="ar-SA"/>
        </w:rPr>
        <w:t>宜机化改造</w:t>
      </w:r>
    </w:p>
    <w:p w14:paraId="553B2BB4">
      <w:pPr>
        <w:keepNext w:val="0"/>
        <w:keepLines w:val="0"/>
        <w:pageBreakBefore w:val="0"/>
        <w:kinsoku/>
        <w:overflowPunct/>
        <w:topLinePunct w:val="0"/>
        <w:bidi w:val="0"/>
        <w:snapToGrid/>
        <w:ind w:firstLine="640" w:firstLineChars="200"/>
        <w:textAlignment w:val="auto"/>
        <w:rPr>
          <w:rFonts w:hint="default" w:ascii="仿宋_GB2312" w:hAnsi="仿宋_GB2312" w:cs="仿宋_GB2312"/>
          <w:color w:val="auto"/>
          <w:sz w:val="32"/>
          <w:szCs w:val="28"/>
          <w:highlight w:val="none"/>
          <w:lang w:val="en-US" w:eastAsia="zh-CN"/>
        </w:rPr>
      </w:pPr>
      <w:r>
        <w:rPr>
          <w:rFonts w:hint="eastAsia" w:ascii="仿宋_GB2312" w:hAnsi="仿宋_GB2312" w:cs="仿宋_GB2312"/>
          <w:color w:val="auto"/>
          <w:sz w:val="32"/>
          <w:szCs w:val="28"/>
          <w:highlight w:val="none"/>
          <w:lang w:val="en-US" w:eastAsia="zh-CN"/>
        </w:rPr>
        <w:t>1.1蔗田选择</w:t>
      </w:r>
    </w:p>
    <w:p w14:paraId="3263E194">
      <w:pPr>
        <w:keepNext w:val="0"/>
        <w:keepLines w:val="0"/>
        <w:pageBreakBefore w:val="0"/>
        <w:kinsoku/>
        <w:overflowPunct/>
        <w:topLinePunct w:val="0"/>
        <w:bidi w:val="0"/>
        <w:snapToGrid/>
        <w:ind w:firstLine="640" w:firstLineChars="200"/>
        <w:textAlignment w:val="auto"/>
        <w:rPr>
          <w:rFonts w:hint="eastAsia" w:ascii="仿宋_GB2312" w:hAnsi="仿宋_GB2312" w:cs="仿宋_GB2312"/>
          <w:color w:val="auto"/>
          <w:sz w:val="32"/>
          <w:szCs w:val="28"/>
          <w:highlight w:val="none"/>
          <w:lang w:val="en-US" w:eastAsia="zh-CN"/>
        </w:rPr>
      </w:pPr>
      <w:r>
        <w:rPr>
          <w:rFonts w:hint="eastAsia" w:ascii="仿宋_GB2312" w:hAnsi="仿宋_GB2312" w:cs="仿宋_GB2312"/>
          <w:color w:val="auto"/>
          <w:sz w:val="32"/>
          <w:szCs w:val="28"/>
          <w:highlight w:val="none"/>
          <w:lang w:val="en-US" w:eastAsia="zh-CN"/>
        </w:rPr>
        <w:t>坡度是限制大型农机（尤其是联合收割机）作业安全和作业质量的关键因素。坡度过大会增加机械侧翻风险，同时导致收割时留茬高度不均、损失率增加。大型拖拉机、联合收割机体型庞大，需要足够的地块长度和宽度来提高作业效率和保证作业质量。</w:t>
      </w:r>
    </w:p>
    <w:p w14:paraId="004B2F74">
      <w:pPr>
        <w:keepNext w:val="0"/>
        <w:keepLines w:val="0"/>
        <w:pageBreakBefore w:val="0"/>
        <w:kinsoku/>
        <w:overflowPunct/>
        <w:topLinePunct w:val="0"/>
        <w:bidi w:val="0"/>
        <w:snapToGrid/>
        <w:ind w:firstLine="640" w:firstLineChars="200"/>
        <w:textAlignment w:val="auto"/>
        <w:rPr>
          <w:rFonts w:hint="eastAsia" w:ascii="仿宋_GB2312" w:hAnsi="仿宋_GB2312" w:cs="仿宋_GB2312"/>
          <w:color w:val="auto"/>
          <w:sz w:val="32"/>
          <w:szCs w:val="28"/>
          <w:highlight w:val="none"/>
          <w:lang w:val="en-US" w:eastAsia="zh-CN"/>
        </w:rPr>
      </w:pPr>
      <w:r>
        <w:rPr>
          <w:rFonts w:hint="eastAsia" w:ascii="仿宋_GB2312" w:hAnsi="仿宋_GB2312" w:cs="仿宋_GB2312"/>
          <w:color w:val="auto"/>
          <w:sz w:val="32"/>
          <w:szCs w:val="28"/>
          <w:highlight w:val="none"/>
          <w:lang w:val="en-US" w:eastAsia="zh-CN"/>
        </w:rPr>
        <w:t>根据《</w:t>
      </w:r>
      <w:r>
        <w:rPr>
          <w:rFonts w:hint="default" w:ascii="仿宋_GB2312" w:hAnsi="仿宋_GB2312" w:eastAsia="仿宋_GB2312" w:cs="仿宋_GB2312"/>
          <w:color w:val="auto"/>
          <w:sz w:val="32"/>
          <w:szCs w:val="28"/>
          <w:highlight w:val="none"/>
          <w:lang w:val="en-US" w:eastAsia="zh-CN"/>
        </w:rPr>
        <w:t>国务院关于建立粮食生产功能区和重要农产品生产保护区的指导意见</w:t>
      </w:r>
      <w:r>
        <w:rPr>
          <w:rFonts w:hint="eastAsia" w:ascii="仿宋_GB2312" w:hAnsi="仿宋_GB2312" w:cs="仿宋_GB2312"/>
          <w:color w:val="auto"/>
          <w:sz w:val="32"/>
          <w:szCs w:val="28"/>
          <w:highlight w:val="none"/>
          <w:lang w:val="en-US" w:eastAsia="zh-CN"/>
        </w:rPr>
        <w:t>（</w:t>
      </w:r>
      <w:r>
        <w:rPr>
          <w:rFonts w:hint="default" w:ascii="仿宋_GB2312" w:hAnsi="仿宋_GB2312" w:eastAsia="仿宋_GB2312" w:cs="仿宋_GB2312"/>
          <w:color w:val="auto"/>
          <w:sz w:val="32"/>
          <w:szCs w:val="28"/>
          <w:highlight w:val="none"/>
          <w:lang w:val="en-US" w:eastAsia="zh-CN"/>
        </w:rPr>
        <w:t>国发〔2017〕24号</w:t>
      </w:r>
      <w:r>
        <w:rPr>
          <w:rFonts w:hint="eastAsia" w:ascii="仿宋_GB2312" w:hAnsi="仿宋_GB2312" w:cs="仿宋_GB2312"/>
          <w:color w:val="auto"/>
          <w:sz w:val="32"/>
          <w:szCs w:val="28"/>
          <w:highlight w:val="none"/>
          <w:lang w:val="en-US" w:eastAsia="zh-CN"/>
        </w:rPr>
        <w:t>）》明确规定，糖料蔗生产保护区划定应水土资源条件较好，坡度在15度以下的永久基本农田。为适合大型机械化操作，经过在南宁、崇左、来宾、柳州、百色、河池、贵港等地的种植实践经验，控制地势坡度在10度以下，蔗田连片面积≥100亩，单位地块长≥100m、宽≥25m，机耕道路面宽≥4m，田块与路面间高差≤15cm，兼顾机械化作业可行性与广西蔗区实际地形。</w:t>
      </w:r>
    </w:p>
    <w:p w14:paraId="6AE9AF7C">
      <w:pPr>
        <w:keepNext w:val="0"/>
        <w:keepLines w:val="0"/>
        <w:pageBreakBefore w:val="0"/>
        <w:kinsoku/>
        <w:overflowPunct/>
        <w:topLinePunct w:val="0"/>
        <w:bidi w:val="0"/>
        <w:snapToGrid/>
        <w:ind w:firstLine="640" w:firstLineChars="200"/>
        <w:textAlignment w:val="auto"/>
        <w:rPr>
          <w:rFonts w:hint="eastAsia" w:ascii="仿宋_GB2312" w:hAnsi="仿宋_GB2312" w:cs="仿宋_GB2312"/>
          <w:color w:val="auto"/>
          <w:sz w:val="32"/>
          <w:szCs w:val="28"/>
          <w:highlight w:val="none"/>
          <w:lang w:val="en-US" w:eastAsia="zh-CN"/>
        </w:rPr>
      </w:pPr>
      <w:r>
        <w:rPr>
          <w:rFonts w:hint="eastAsia" w:ascii="仿宋_GB2312" w:hAnsi="仿宋_GB2312" w:cs="仿宋_GB2312"/>
          <w:color w:val="auto"/>
          <w:sz w:val="32"/>
          <w:szCs w:val="28"/>
          <w:highlight w:val="none"/>
          <w:lang w:val="en-US" w:eastAsia="zh-CN"/>
        </w:rPr>
        <w:t>同时，地下水位高或地势低洼的田块，若积水会导致蔗种腐烂、病害滋生，且重型机械在泥泞地作业会加剧土壤板结和陷车风险，有必要设立排水系统。</w:t>
      </w:r>
    </w:p>
    <w:p w14:paraId="2B50714B">
      <w:pPr>
        <w:keepNext w:val="0"/>
        <w:keepLines w:val="0"/>
        <w:pageBreakBefore w:val="0"/>
        <w:kinsoku/>
        <w:overflowPunct/>
        <w:topLinePunct w:val="0"/>
        <w:bidi w:val="0"/>
        <w:snapToGrid/>
        <w:ind w:firstLine="640" w:firstLineChars="200"/>
        <w:textAlignment w:val="auto"/>
        <w:rPr>
          <w:rFonts w:hint="default" w:ascii="仿宋_GB2312" w:hAnsi="仿宋_GB2312" w:cs="仿宋_GB2312"/>
          <w:color w:val="auto"/>
          <w:sz w:val="32"/>
          <w:szCs w:val="28"/>
          <w:highlight w:val="none"/>
          <w:lang w:val="en-US" w:eastAsia="zh-CN"/>
        </w:rPr>
      </w:pPr>
      <w:r>
        <w:rPr>
          <w:rFonts w:hint="eastAsia" w:ascii="仿宋_GB2312" w:hAnsi="仿宋_GB2312" w:cs="仿宋_GB2312"/>
          <w:color w:val="auto"/>
          <w:sz w:val="32"/>
          <w:szCs w:val="28"/>
          <w:highlight w:val="none"/>
          <w:lang w:val="en-US" w:eastAsia="zh-CN"/>
        </w:rPr>
        <w:t>1.2蔗田整理</w:t>
      </w:r>
    </w:p>
    <w:p w14:paraId="00966F40">
      <w:pPr>
        <w:keepNext w:val="0"/>
        <w:keepLines w:val="0"/>
        <w:pageBreakBefore w:val="0"/>
        <w:kinsoku/>
        <w:overflowPunct/>
        <w:topLinePunct w:val="0"/>
        <w:bidi w:val="0"/>
        <w:snapToGrid/>
        <w:ind w:firstLine="640" w:firstLineChars="200"/>
        <w:textAlignment w:val="auto"/>
        <w:rPr>
          <w:rFonts w:hint="default" w:ascii="仿宋_GB2312" w:hAnsi="仿宋_GB2312" w:eastAsia="仿宋_GB2312" w:cs="仿宋_GB2312"/>
          <w:color w:val="auto"/>
          <w:sz w:val="32"/>
          <w:szCs w:val="28"/>
          <w:highlight w:val="none"/>
          <w:lang w:val="en-US" w:eastAsia="zh-CN"/>
        </w:rPr>
      </w:pPr>
      <w:r>
        <w:rPr>
          <w:rFonts w:hint="eastAsia" w:ascii="仿宋_GB2312" w:hAnsi="仿宋_GB2312" w:cs="仿宋_GB2312"/>
          <w:color w:val="auto"/>
          <w:sz w:val="32"/>
          <w:szCs w:val="28"/>
          <w:highlight w:val="none"/>
          <w:lang w:val="en-US" w:eastAsia="zh-CN"/>
        </w:rPr>
        <w:t>蔗田整理关键是</w:t>
      </w:r>
      <w:r>
        <w:rPr>
          <w:rFonts w:hint="default" w:ascii="仿宋_GB2312" w:hAnsi="仿宋_GB2312" w:eastAsia="仿宋_GB2312" w:cs="仿宋_GB2312"/>
          <w:color w:val="auto"/>
          <w:sz w:val="32"/>
          <w:szCs w:val="28"/>
          <w:highlight w:val="none"/>
          <w:lang w:val="en-US" w:eastAsia="zh-CN"/>
        </w:rPr>
        <w:t>通过改造，消除机械作业的障碍，创造平整的作业面</w:t>
      </w:r>
      <w:r>
        <w:rPr>
          <w:rFonts w:hint="eastAsia" w:ascii="仿宋_GB2312" w:hAnsi="仿宋_GB2312" w:cs="仿宋_GB2312"/>
          <w:color w:val="auto"/>
          <w:sz w:val="32"/>
          <w:szCs w:val="28"/>
          <w:highlight w:val="none"/>
          <w:lang w:val="en-US" w:eastAsia="zh-CN"/>
        </w:rPr>
        <w:t>。深耕深松作业深度通常可达30-50cm，若地下有石块、树根等，轻则损坏犁铧、深松铲，重则导致农机传动系统损坏甚至伤人。</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5FDD4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75148750">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879725" cy="2150745"/>
                  <wp:effectExtent l="0" t="0" r="1587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2879725" cy="2150745"/>
                          </a:xfrm>
                          <a:prstGeom prst="rect">
                            <a:avLst/>
                          </a:prstGeom>
                          <a:noFill/>
                          <a:ln>
                            <a:noFill/>
                          </a:ln>
                        </pic:spPr>
                      </pic:pic>
                    </a:graphicData>
                  </a:graphic>
                </wp:inline>
              </w:drawing>
            </w:r>
          </w:p>
        </w:tc>
      </w:tr>
      <w:tr w14:paraId="71FA14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456227B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仿宋_GB2312" w:hAnsi="宋体" w:eastAsia="仿宋_GB2312"/>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图1 平地作业</w:t>
            </w:r>
          </w:p>
        </w:tc>
      </w:tr>
    </w:tbl>
    <w:p w14:paraId="55BE02BA">
      <w:pPr>
        <w:keepNext w:val="0"/>
        <w:keepLines w:val="0"/>
        <w:pageBreakBefore w:val="0"/>
        <w:kinsoku/>
        <w:overflowPunct/>
        <w:topLinePunct w:val="0"/>
        <w:bidi w:val="0"/>
        <w:snapToGrid/>
        <w:ind w:left="0" w:firstLine="640" w:firstLineChars="200"/>
        <w:textAlignment w:val="auto"/>
        <w:rPr>
          <w:rFonts w:hint="eastAsia" w:ascii="仿宋_GB2312" w:hAnsi="仿宋_GB2312" w:cs="仿宋_GB2312"/>
          <w:color w:val="auto"/>
          <w:sz w:val="32"/>
          <w:szCs w:val="28"/>
          <w:highlight w:val="none"/>
          <w:lang w:val="en-US" w:eastAsia="zh-CN"/>
        </w:rPr>
      </w:pPr>
    </w:p>
    <w:p w14:paraId="7ACD24B5">
      <w:pPr>
        <w:keepNext w:val="0"/>
        <w:keepLines w:val="0"/>
        <w:pageBreakBefore w:val="0"/>
        <w:kinsoku/>
        <w:overflowPunct/>
        <w:topLinePunct w:val="0"/>
        <w:bidi w:val="0"/>
        <w:snapToGrid/>
        <w:ind w:left="0" w:firstLine="640" w:firstLineChars="200"/>
        <w:textAlignment w:val="auto"/>
        <w:rPr>
          <w:rFonts w:hint="eastAsia" w:ascii="仿宋_GB2312" w:hAnsi="仿宋_GB2312" w:cs="仿宋_GB2312"/>
          <w:color w:val="auto"/>
          <w:sz w:val="32"/>
          <w:szCs w:val="28"/>
          <w:highlight w:val="none"/>
          <w:lang w:val="en-US" w:eastAsia="zh-CN"/>
        </w:rPr>
      </w:pPr>
      <w:r>
        <w:rPr>
          <w:rFonts w:hint="eastAsia" w:ascii="仿宋_GB2312" w:hAnsi="仿宋_GB2312" w:cs="仿宋_GB2312"/>
          <w:color w:val="auto"/>
          <w:sz w:val="32"/>
          <w:szCs w:val="28"/>
          <w:highlight w:val="none"/>
          <w:lang w:val="en-US" w:eastAsia="zh-CN"/>
        </w:rPr>
        <w:t>而平地机作业时，其工作阻力与耕幅、耕深及土壤阻力直接相关，耕幅越宽，所需牵引力越大。广西糖料蔗生产先进技术—甘蔗规模种植高效高产全程机械化生产技术，推荐使用耕幅为3.6m～5.4m的平地机，配套165匹马力（121.4kW)以上拖拉机。</w:t>
      </w:r>
    </w:p>
    <w:p w14:paraId="67E4AB83">
      <w:pPr>
        <w:keepNext w:val="0"/>
        <w:keepLines w:val="0"/>
        <w:pageBreakBefore w:val="0"/>
        <w:numPr>
          <w:ilvl w:val="0"/>
          <w:numId w:val="0"/>
        </w:numPr>
        <w:kinsoku/>
        <w:overflowPunct/>
        <w:topLinePunct w:val="0"/>
        <w:bidi w:val="0"/>
        <w:snapToGrid/>
        <w:ind w:left="0" w:leftChars="0" w:firstLine="643" w:firstLineChars="200"/>
        <w:textAlignment w:val="auto"/>
        <w:rPr>
          <w:rFonts w:hint="default" w:ascii="仿宋_GB2312" w:hAnsi="宋体" w:cs="Times New Roman"/>
          <w:b/>
          <w:color w:val="auto"/>
          <w:kern w:val="2"/>
          <w:sz w:val="32"/>
          <w:szCs w:val="32"/>
          <w:highlight w:val="none"/>
          <w:lang w:val="en-US" w:eastAsia="zh-CN" w:bidi="ar-SA"/>
        </w:rPr>
      </w:pPr>
      <w:r>
        <w:rPr>
          <w:rFonts w:hint="eastAsia" w:ascii="仿宋_GB2312" w:hAnsi="宋体" w:eastAsia="仿宋_GB2312" w:cs="Times New Roman"/>
          <w:b/>
          <w:color w:val="auto"/>
          <w:kern w:val="2"/>
          <w:sz w:val="32"/>
          <w:szCs w:val="32"/>
          <w:lang w:val="en-US" w:eastAsia="zh-CN" w:bidi="ar-SA"/>
        </w:rPr>
        <w:t>（</w:t>
      </w:r>
      <w:r>
        <w:rPr>
          <w:rFonts w:hint="eastAsia" w:ascii="仿宋_GB2312" w:hAnsi="宋体" w:cs="Times New Roman"/>
          <w:b/>
          <w:color w:val="auto"/>
          <w:kern w:val="2"/>
          <w:sz w:val="32"/>
          <w:szCs w:val="32"/>
          <w:lang w:val="en-US" w:eastAsia="zh-CN" w:bidi="ar-SA"/>
        </w:rPr>
        <w:t>二</w:t>
      </w:r>
      <w:r>
        <w:rPr>
          <w:rFonts w:hint="eastAsia" w:ascii="仿宋_GB2312" w:hAnsi="宋体" w:eastAsia="仿宋_GB2312" w:cs="Times New Roman"/>
          <w:b/>
          <w:color w:val="auto"/>
          <w:kern w:val="2"/>
          <w:sz w:val="32"/>
          <w:szCs w:val="32"/>
          <w:lang w:val="en-US" w:eastAsia="zh-CN" w:bidi="ar-SA"/>
        </w:rPr>
        <w:t>）</w:t>
      </w:r>
      <w:r>
        <w:rPr>
          <w:rFonts w:hint="eastAsia" w:ascii="仿宋_GB2312" w:hAnsi="宋体" w:cs="Times New Roman"/>
          <w:b/>
          <w:color w:val="auto"/>
          <w:kern w:val="2"/>
          <w:sz w:val="32"/>
          <w:szCs w:val="32"/>
          <w:lang w:val="en-US" w:eastAsia="zh-CN" w:bidi="ar-SA"/>
        </w:rPr>
        <w:t>耕整地</w:t>
      </w:r>
    </w:p>
    <w:p w14:paraId="5ABB0DF6">
      <w:pPr>
        <w:keepNext w:val="0"/>
        <w:keepLines w:val="0"/>
        <w:pageBreakBefore w:val="0"/>
        <w:kinsoku/>
        <w:overflowPunct/>
        <w:topLinePunct w:val="0"/>
        <w:bidi w:val="0"/>
        <w:snapToGrid/>
        <w:ind w:left="0" w:firstLine="640" w:firstLineChars="200"/>
        <w:textAlignment w:val="auto"/>
        <w:rPr>
          <w:rFonts w:hint="eastAsia" w:ascii="仿宋_GB2312" w:hAnsi="仿宋_GB2312" w:cs="仿宋_GB2312"/>
          <w:color w:val="auto"/>
          <w:sz w:val="32"/>
          <w:szCs w:val="28"/>
          <w:highlight w:val="none"/>
          <w:lang w:val="en-US" w:eastAsia="zh-CN"/>
        </w:rPr>
      </w:pPr>
      <w:r>
        <w:rPr>
          <w:rFonts w:hint="eastAsia" w:ascii="仿宋_GB2312" w:hAnsi="仿宋_GB2312" w:cs="仿宋_GB2312"/>
          <w:color w:val="auto"/>
          <w:sz w:val="32"/>
          <w:szCs w:val="28"/>
          <w:highlight w:val="none"/>
          <w:lang w:val="en-US" w:eastAsia="zh-CN"/>
        </w:rPr>
        <w:t>2.1深松旋耕</w:t>
      </w:r>
    </w:p>
    <w:p w14:paraId="288C3AA4">
      <w:pPr>
        <w:keepNext w:val="0"/>
        <w:keepLines w:val="0"/>
        <w:pageBreakBefore w:val="0"/>
        <w:kinsoku/>
        <w:overflowPunct/>
        <w:topLinePunct w:val="0"/>
        <w:bidi w:val="0"/>
        <w:snapToGrid/>
        <w:ind w:left="0" w:firstLine="640" w:firstLineChars="200"/>
        <w:textAlignment w:val="auto"/>
        <w:rPr>
          <w:rFonts w:hint="default" w:ascii="仿宋_GB2312" w:hAnsi="仿宋_GB2312" w:cs="仿宋_GB2312"/>
          <w:color w:val="auto"/>
          <w:sz w:val="32"/>
          <w:szCs w:val="28"/>
          <w:highlight w:val="none"/>
          <w:lang w:val="en-US" w:eastAsia="zh-CN"/>
        </w:rPr>
      </w:pPr>
      <w:r>
        <w:rPr>
          <w:rFonts w:hint="default" w:ascii="仿宋_GB2312" w:hAnsi="仿宋_GB2312" w:cs="仿宋_GB2312"/>
          <w:color w:val="auto"/>
          <w:sz w:val="32"/>
          <w:szCs w:val="28"/>
          <w:highlight w:val="none"/>
          <w:lang w:val="en-US" w:eastAsia="zh-CN"/>
        </w:rPr>
        <w:t>深松旋耕</w:t>
      </w:r>
      <w:r>
        <w:rPr>
          <w:rFonts w:hint="eastAsia" w:ascii="仿宋_GB2312" w:hAnsi="仿宋_GB2312" w:cs="仿宋_GB2312"/>
          <w:color w:val="auto"/>
          <w:sz w:val="32"/>
          <w:szCs w:val="28"/>
          <w:highlight w:val="none"/>
          <w:lang w:val="en-US" w:eastAsia="zh-CN"/>
        </w:rPr>
        <w:t>核心是</w:t>
      </w:r>
      <w:r>
        <w:rPr>
          <w:rFonts w:hint="default" w:ascii="仿宋_GB2312" w:hAnsi="仿宋_GB2312" w:cs="仿宋_GB2312"/>
          <w:color w:val="auto"/>
          <w:sz w:val="32"/>
          <w:szCs w:val="28"/>
          <w:highlight w:val="none"/>
          <w:lang w:val="en-US" w:eastAsia="zh-CN"/>
        </w:rPr>
        <w:t>打破犁底层，创造深厚疏松的耕层，同时构建适合机械化作业的田间布局</w:t>
      </w:r>
      <w:r>
        <w:rPr>
          <w:rFonts w:hint="eastAsia" w:ascii="仿宋_GB2312" w:hAnsi="仿宋_GB2312" w:cs="仿宋_GB2312"/>
          <w:color w:val="auto"/>
          <w:sz w:val="32"/>
          <w:szCs w:val="28"/>
          <w:highlight w:val="none"/>
          <w:lang w:val="en-US" w:eastAsia="zh-CN"/>
        </w:rPr>
        <w:t>。</w:t>
      </w:r>
      <w:r>
        <w:rPr>
          <w:rFonts w:hint="default" w:ascii="仿宋_GB2312" w:hAnsi="仿宋_GB2312" w:cs="仿宋_GB2312"/>
          <w:color w:val="auto"/>
          <w:sz w:val="32"/>
          <w:szCs w:val="28"/>
          <w:highlight w:val="none"/>
          <w:lang w:val="en-US" w:eastAsia="zh-CN"/>
        </w:rPr>
        <w:t>使用导航系统实现精准作业，确保耕行笔直、接行准确，避免因基础耕作偏移</w:t>
      </w:r>
      <w:r>
        <w:rPr>
          <w:rFonts w:hint="eastAsia" w:ascii="仿宋_GB2312" w:hAnsi="仿宋_GB2312" w:cs="仿宋_GB2312"/>
          <w:color w:val="auto"/>
          <w:sz w:val="32"/>
          <w:szCs w:val="28"/>
          <w:highlight w:val="none"/>
          <w:lang w:val="en-US" w:eastAsia="zh-CN"/>
        </w:rPr>
        <w:t>影响</w:t>
      </w:r>
      <w:r>
        <w:rPr>
          <w:rFonts w:hint="default" w:ascii="仿宋_GB2312" w:hAnsi="仿宋_GB2312" w:cs="仿宋_GB2312"/>
          <w:color w:val="auto"/>
          <w:sz w:val="32"/>
          <w:szCs w:val="28"/>
          <w:highlight w:val="none"/>
          <w:lang w:val="en-US" w:eastAsia="zh-CN"/>
        </w:rPr>
        <w:t>的后续机械化管理（如施肥、喷药）；深松旋耕联合作业需要同时克服深松铲打破40-50cm坚硬犁底层的巨大牵引阻力，以及驱动旋耕刀辊切碎土壤所需的动力输出，功率不足将导致作业深度不够、效率低下甚至机组损坏，拖拉机功率≥103.0kW（约140马力）是当前主流农机配套保证作业质量和效率的下限。</w:t>
      </w:r>
    </w:p>
    <w:p w14:paraId="40A44553">
      <w:pPr>
        <w:keepNext w:val="0"/>
        <w:keepLines w:val="0"/>
        <w:pageBreakBefore w:val="0"/>
        <w:kinsoku/>
        <w:overflowPunct/>
        <w:topLinePunct w:val="0"/>
        <w:bidi w:val="0"/>
        <w:snapToGrid/>
        <w:ind w:left="0" w:firstLine="640" w:firstLineChars="200"/>
        <w:textAlignment w:val="auto"/>
        <w:rPr>
          <w:rFonts w:hint="default" w:ascii="仿宋_GB2312" w:hAnsi="仿宋_GB2312" w:cs="仿宋_GB2312"/>
          <w:color w:val="auto"/>
          <w:sz w:val="32"/>
          <w:szCs w:val="28"/>
          <w:highlight w:val="none"/>
          <w:lang w:val="en-US" w:eastAsia="zh-CN"/>
        </w:rPr>
      </w:pPr>
      <w:r>
        <w:rPr>
          <w:rFonts w:hint="eastAsia" w:ascii="仿宋_GB2312" w:hAnsi="仿宋_GB2312" w:cs="仿宋_GB2312"/>
          <w:color w:val="auto"/>
          <w:sz w:val="32"/>
          <w:szCs w:val="28"/>
          <w:highlight w:val="none"/>
          <w:lang w:val="en-US" w:eastAsia="zh-CN"/>
        </w:rPr>
        <w:t>经过技术推广过程实践总结，</w:t>
      </w:r>
      <w:r>
        <w:rPr>
          <w:rFonts w:hint="default" w:ascii="仿宋_GB2312" w:hAnsi="仿宋_GB2312" w:cs="仿宋_GB2312"/>
          <w:color w:val="auto"/>
          <w:sz w:val="32"/>
          <w:szCs w:val="28"/>
          <w:highlight w:val="none"/>
          <w:lang w:val="en-US" w:eastAsia="zh-CN"/>
        </w:rPr>
        <w:t>采用宽窄行</w:t>
      </w:r>
      <w:r>
        <w:rPr>
          <w:rFonts w:hint="eastAsia" w:ascii="仿宋_GB2312" w:hAnsi="仿宋_GB2312" w:cs="仿宋_GB2312"/>
          <w:color w:val="auto"/>
          <w:sz w:val="32"/>
          <w:szCs w:val="28"/>
          <w:highlight w:val="none"/>
          <w:lang w:val="en-US" w:eastAsia="zh-CN"/>
        </w:rPr>
        <w:t>1.8-2.0</w:t>
      </w:r>
      <w:r>
        <w:rPr>
          <w:rFonts w:hint="default" w:ascii="仿宋_GB2312" w:hAnsi="仿宋_GB2312" w:cs="仿宋_GB2312"/>
          <w:color w:val="auto"/>
          <w:sz w:val="32"/>
          <w:szCs w:val="28"/>
          <w:highlight w:val="none"/>
          <w:lang w:val="en-US" w:eastAsia="zh-CN"/>
        </w:rPr>
        <w:t>m（1.5+0.4）的种植或等行距</w:t>
      </w:r>
      <w:r>
        <w:rPr>
          <w:rFonts w:hint="eastAsia" w:ascii="仿宋_GB2312" w:hAnsi="仿宋_GB2312" w:cs="仿宋_GB2312"/>
          <w:color w:val="auto"/>
          <w:sz w:val="32"/>
          <w:szCs w:val="28"/>
          <w:highlight w:val="none"/>
          <w:lang w:val="en-US" w:eastAsia="zh-CN"/>
        </w:rPr>
        <w:t>1.4-</w:t>
      </w:r>
      <w:r>
        <w:rPr>
          <w:rFonts w:hint="default" w:ascii="仿宋_GB2312" w:hAnsi="仿宋_GB2312" w:cs="仿宋_GB2312"/>
          <w:color w:val="auto"/>
          <w:sz w:val="32"/>
          <w:szCs w:val="28"/>
          <w:highlight w:val="none"/>
          <w:lang w:val="en-US" w:eastAsia="zh-CN"/>
        </w:rPr>
        <w:t>1.5m的宽行距种植模式，每亩作业距离</w:t>
      </w:r>
      <w:r>
        <w:rPr>
          <w:rFonts w:hint="eastAsia" w:ascii="仿宋_GB2312" w:hAnsi="仿宋_GB2312" w:cs="仿宋_GB2312"/>
          <w:color w:val="auto"/>
          <w:sz w:val="32"/>
          <w:szCs w:val="28"/>
          <w:highlight w:val="none"/>
          <w:lang w:val="en-US" w:eastAsia="zh-CN"/>
        </w:rPr>
        <w:t>分别约</w:t>
      </w:r>
      <w:r>
        <w:rPr>
          <w:rFonts w:hint="default" w:ascii="仿宋_GB2312" w:hAnsi="仿宋_GB2312" w:cs="仿宋_GB2312"/>
          <w:color w:val="auto"/>
          <w:sz w:val="32"/>
          <w:szCs w:val="28"/>
          <w:highlight w:val="none"/>
          <w:lang w:val="en-US" w:eastAsia="zh-CN"/>
        </w:rPr>
        <w:t>351m、444m，比常规的1.2m作业距离550m，减少199m、106m，作业效率比常规提高30-50%</w:t>
      </w:r>
      <w:r>
        <w:rPr>
          <w:rFonts w:hint="eastAsia" w:ascii="仿宋_GB2312" w:hAnsi="仿宋_GB2312" w:cs="仿宋_GB2312"/>
          <w:color w:val="auto"/>
          <w:sz w:val="32"/>
          <w:szCs w:val="28"/>
          <w:highlight w:val="none"/>
          <w:lang w:val="en-US" w:eastAsia="zh-CN"/>
        </w:rPr>
        <w:t>。深松后的种植区土壤疏松利于甘蔗生长，但无法承受重型机械反复碾压，因此保留未耕的实土区作为固定的机械行走道。</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411793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24E35AE4">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879725" cy="1634490"/>
                  <wp:effectExtent l="0" t="0" r="15875" b="381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
                          <a:stretch>
                            <a:fillRect/>
                          </a:stretch>
                        </pic:blipFill>
                        <pic:spPr>
                          <a:xfrm>
                            <a:off x="0" y="0"/>
                            <a:ext cx="2879725" cy="1634490"/>
                          </a:xfrm>
                          <a:prstGeom prst="rect">
                            <a:avLst/>
                          </a:prstGeom>
                          <a:noFill/>
                          <a:ln>
                            <a:noFill/>
                          </a:ln>
                        </pic:spPr>
                      </pic:pic>
                    </a:graphicData>
                  </a:graphic>
                </wp:inline>
              </w:drawing>
            </w:r>
          </w:p>
        </w:tc>
      </w:tr>
      <w:tr w14:paraId="3FF37B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6914093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仿宋_GB2312" w:hAnsi="宋体" w:eastAsia="仿宋_GB2312"/>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图2 深松旋耕</w:t>
            </w:r>
          </w:p>
        </w:tc>
      </w:tr>
    </w:tbl>
    <w:p w14:paraId="09C3470C">
      <w:pPr>
        <w:keepNext w:val="0"/>
        <w:keepLines w:val="0"/>
        <w:pageBreakBefore w:val="0"/>
        <w:kinsoku/>
        <w:overflowPunct/>
        <w:topLinePunct w:val="0"/>
        <w:bidi w:val="0"/>
        <w:snapToGrid/>
        <w:ind w:left="0" w:firstLine="640" w:firstLineChars="200"/>
        <w:textAlignment w:val="auto"/>
        <w:rPr>
          <w:rFonts w:hint="default" w:ascii="仿宋_GB2312" w:hAnsi="仿宋_GB2312" w:cs="仿宋_GB2312"/>
          <w:color w:val="auto"/>
          <w:sz w:val="32"/>
          <w:szCs w:val="28"/>
          <w:highlight w:val="none"/>
          <w:lang w:val="en-US" w:eastAsia="zh-CN"/>
        </w:rPr>
      </w:pPr>
      <w:r>
        <w:rPr>
          <w:rFonts w:hint="eastAsia" w:ascii="仿宋_GB2312" w:hAnsi="仿宋_GB2312" w:cs="仿宋_GB2312"/>
          <w:color w:val="auto"/>
          <w:sz w:val="32"/>
          <w:szCs w:val="28"/>
          <w:highlight w:val="none"/>
          <w:lang w:val="en-US" w:eastAsia="zh-CN"/>
        </w:rPr>
        <w:t>2.2预开行施肥</w:t>
      </w:r>
    </w:p>
    <w:p w14:paraId="23F428CC">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highlight w:val="none"/>
          <w:lang w:val="zh-CN"/>
        </w:rPr>
      </w:pPr>
      <w:r>
        <w:rPr>
          <w:rFonts w:hint="eastAsia" w:ascii="仿宋_GB2312" w:hAnsi="宋体" w:eastAsia="仿宋_GB2312"/>
          <w:color w:val="auto"/>
          <w:sz w:val="32"/>
          <w:szCs w:val="32"/>
          <w:highlight w:val="none"/>
          <w:lang w:val="zh-CN"/>
        </w:rPr>
        <w:t>使用导航系统进行精准定位开行</w:t>
      </w:r>
      <w:r>
        <w:rPr>
          <w:rFonts w:hint="eastAsia" w:ascii="仿宋_GB2312" w:hAnsi="宋体"/>
          <w:color w:val="auto"/>
          <w:sz w:val="32"/>
          <w:szCs w:val="32"/>
          <w:highlight w:val="none"/>
          <w:lang w:val="zh-CN"/>
        </w:rPr>
        <w:t>，</w:t>
      </w:r>
      <w:r>
        <w:rPr>
          <w:rFonts w:hint="eastAsia" w:ascii="仿宋_GB2312" w:hAnsi="宋体" w:eastAsia="仿宋_GB2312"/>
          <w:color w:val="auto"/>
          <w:sz w:val="32"/>
          <w:szCs w:val="32"/>
          <w:highlight w:val="none"/>
          <w:lang w:val="zh-CN"/>
        </w:rPr>
        <w:t>确保种植沟与深松过的区域重合，避免将蔗种和肥料施在未深松的实土上导致出苗不齐；旋耕开行施肥机需一次性完成切土碎土（深度30-40cm）、开出深沟（25-35cm）并同步施用基肥</w:t>
      </w:r>
      <w:r>
        <w:rPr>
          <w:rFonts w:hint="eastAsia" w:ascii="仿宋_GB2312" w:hAnsi="宋体"/>
          <w:color w:val="auto"/>
          <w:sz w:val="32"/>
          <w:szCs w:val="32"/>
          <w:highlight w:val="none"/>
          <w:lang w:val="en-US" w:eastAsia="zh-CN"/>
        </w:rPr>
        <w:t>3</w:t>
      </w:r>
      <w:r>
        <w:rPr>
          <w:rFonts w:hint="eastAsia" w:ascii="仿宋_GB2312" w:hAnsi="宋体" w:eastAsia="仿宋_GB2312"/>
          <w:color w:val="auto"/>
          <w:sz w:val="32"/>
          <w:szCs w:val="32"/>
          <w:highlight w:val="none"/>
          <w:lang w:val="zh-CN"/>
        </w:rPr>
        <w:t>项复合作业，负荷较大，拖拉机功率要求≥88.3kW（约120马力）能保证机具在</w:t>
      </w:r>
      <w:r>
        <w:rPr>
          <w:rFonts w:hint="eastAsia" w:ascii="仿宋_GB2312" w:hAnsi="宋体"/>
          <w:color w:val="auto"/>
          <w:sz w:val="32"/>
          <w:szCs w:val="32"/>
          <w:highlight w:val="none"/>
          <w:lang w:val="en-US" w:eastAsia="zh-CN"/>
        </w:rPr>
        <w:t>该条件</w:t>
      </w:r>
      <w:r>
        <w:rPr>
          <w:rFonts w:hint="eastAsia" w:ascii="仿宋_GB2312" w:hAnsi="宋体" w:eastAsia="仿宋_GB2312"/>
          <w:color w:val="auto"/>
          <w:sz w:val="32"/>
          <w:szCs w:val="32"/>
          <w:highlight w:val="none"/>
          <w:lang w:val="zh-CN"/>
        </w:rPr>
        <w:t>下稳定作业，确保碎土质量和开沟整齐度。</w:t>
      </w:r>
    </w:p>
    <w:p w14:paraId="62ABACE4">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highlight w:val="none"/>
          <w:lang w:val="zh-CN"/>
        </w:rPr>
      </w:pPr>
      <w:r>
        <w:rPr>
          <w:rFonts w:hint="eastAsia" w:ascii="仿宋_GB2312" w:hAnsi="宋体" w:eastAsia="仿宋_GB2312"/>
          <w:color w:val="auto"/>
          <w:sz w:val="32"/>
          <w:szCs w:val="32"/>
          <w:highlight w:val="none"/>
          <w:lang w:val="zh-CN"/>
        </w:rPr>
        <w:t>高磷能强力促进新生根系快速发育，中氮可防止前期徒长、培育壮苗，中钾则增强苗期抗逆性</w:t>
      </w:r>
      <w:r>
        <w:rPr>
          <w:rFonts w:hint="eastAsia" w:ascii="仿宋_GB2312" w:hAnsi="宋体"/>
          <w:color w:val="auto"/>
          <w:sz w:val="32"/>
          <w:szCs w:val="32"/>
          <w:highlight w:val="none"/>
          <w:lang w:val="zh-CN"/>
        </w:rPr>
        <w:t>。</w:t>
      </w:r>
      <w:r>
        <w:rPr>
          <w:rFonts w:hint="eastAsia" w:ascii="仿宋_GB2312" w:hAnsi="宋体" w:eastAsia="仿宋_GB2312"/>
          <w:color w:val="auto"/>
          <w:sz w:val="32"/>
          <w:szCs w:val="32"/>
          <w:highlight w:val="none"/>
          <w:lang w:val="zh-CN"/>
        </w:rPr>
        <w:t>每亩40-50kg的用量，能满足甘蔗前期生长对磷的全部及部分氮钾需求</w:t>
      </w:r>
      <w:r>
        <w:rPr>
          <w:rFonts w:hint="eastAsia" w:ascii="仿宋_GB2312" w:hAnsi="宋体"/>
          <w:color w:val="auto"/>
          <w:sz w:val="32"/>
          <w:szCs w:val="32"/>
          <w:highlight w:val="none"/>
          <w:lang w:val="zh-CN"/>
        </w:rPr>
        <w:t>。</w:t>
      </w:r>
      <w:r>
        <w:rPr>
          <w:rFonts w:hint="eastAsia" w:ascii="仿宋_GB2312" w:hAnsi="宋体" w:eastAsia="仿宋_GB2312"/>
          <w:color w:val="auto"/>
          <w:sz w:val="32"/>
          <w:szCs w:val="32"/>
          <w:highlight w:val="none"/>
          <w:lang w:val="zh-CN"/>
        </w:rPr>
        <w:t>将肥料与氯虫苯甲酰胺拌匀施用，在苗期形成有效防护，省工省力且保障苗全苗壮。</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485D26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3CBCADDB">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879725" cy="1866900"/>
                  <wp:effectExtent l="0" t="0" r="15875"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0"/>
                          <a:stretch>
                            <a:fillRect/>
                          </a:stretch>
                        </pic:blipFill>
                        <pic:spPr>
                          <a:xfrm>
                            <a:off x="0" y="0"/>
                            <a:ext cx="2879725" cy="1866900"/>
                          </a:xfrm>
                          <a:prstGeom prst="rect">
                            <a:avLst/>
                          </a:prstGeom>
                          <a:noFill/>
                          <a:ln>
                            <a:noFill/>
                          </a:ln>
                        </pic:spPr>
                      </pic:pic>
                    </a:graphicData>
                  </a:graphic>
                </wp:inline>
              </w:drawing>
            </w:r>
          </w:p>
        </w:tc>
      </w:tr>
      <w:tr w14:paraId="172205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7C0E9F1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仿宋_GB2312" w:hAnsi="宋体" w:eastAsia="仿宋_GB2312"/>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图3 开行施肥</w:t>
            </w:r>
          </w:p>
        </w:tc>
      </w:tr>
    </w:tbl>
    <w:p w14:paraId="5D917568">
      <w:pPr>
        <w:keepNext w:val="0"/>
        <w:keepLines w:val="0"/>
        <w:pageBreakBefore w:val="0"/>
        <w:numPr>
          <w:ilvl w:val="0"/>
          <w:numId w:val="0"/>
        </w:numPr>
        <w:kinsoku/>
        <w:overflowPunct/>
        <w:topLinePunct w:val="0"/>
        <w:bidi w:val="0"/>
        <w:snapToGrid/>
        <w:ind w:left="0" w:leftChars="0" w:firstLine="643" w:firstLineChars="200"/>
        <w:textAlignment w:val="auto"/>
        <w:rPr>
          <w:rFonts w:hint="default" w:ascii="仿宋_GB2312" w:hAnsi="宋体" w:cs="Times New Roman"/>
          <w:b/>
          <w:color w:val="auto"/>
          <w:kern w:val="2"/>
          <w:sz w:val="32"/>
          <w:szCs w:val="32"/>
          <w:highlight w:val="none"/>
          <w:lang w:val="en-US" w:eastAsia="zh-CN" w:bidi="ar-SA"/>
        </w:rPr>
      </w:pPr>
      <w:r>
        <w:rPr>
          <w:rFonts w:hint="eastAsia" w:ascii="仿宋_GB2312" w:hAnsi="宋体" w:eastAsia="仿宋_GB2312" w:cs="Times New Roman"/>
          <w:b/>
          <w:color w:val="auto"/>
          <w:kern w:val="2"/>
          <w:sz w:val="32"/>
          <w:szCs w:val="32"/>
          <w:lang w:val="en-US" w:eastAsia="zh-CN" w:bidi="ar-SA"/>
        </w:rPr>
        <w:t>（</w:t>
      </w:r>
      <w:r>
        <w:rPr>
          <w:rFonts w:hint="eastAsia" w:ascii="仿宋_GB2312" w:hAnsi="宋体" w:cs="Times New Roman"/>
          <w:b/>
          <w:color w:val="auto"/>
          <w:kern w:val="2"/>
          <w:sz w:val="32"/>
          <w:szCs w:val="32"/>
          <w:lang w:val="en-US" w:eastAsia="zh-CN" w:bidi="ar-SA"/>
        </w:rPr>
        <w:t>三</w:t>
      </w:r>
      <w:r>
        <w:rPr>
          <w:rFonts w:hint="eastAsia" w:ascii="仿宋_GB2312" w:hAnsi="宋体" w:eastAsia="仿宋_GB2312" w:cs="Times New Roman"/>
          <w:b/>
          <w:color w:val="auto"/>
          <w:kern w:val="2"/>
          <w:sz w:val="32"/>
          <w:szCs w:val="32"/>
          <w:lang w:val="en-US" w:eastAsia="zh-CN" w:bidi="ar-SA"/>
        </w:rPr>
        <w:t>）</w:t>
      </w:r>
      <w:r>
        <w:rPr>
          <w:rFonts w:hint="eastAsia" w:ascii="仿宋_GB2312" w:hAnsi="宋体" w:cs="Times New Roman"/>
          <w:b/>
          <w:color w:val="auto"/>
          <w:kern w:val="2"/>
          <w:sz w:val="32"/>
          <w:szCs w:val="32"/>
          <w:lang w:val="en-US" w:eastAsia="zh-CN" w:bidi="ar-SA"/>
        </w:rPr>
        <w:t>种植</w:t>
      </w:r>
    </w:p>
    <w:p w14:paraId="35ADAEEE">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3.1品种选择</w:t>
      </w:r>
    </w:p>
    <w:p w14:paraId="534D4825">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机械化生产中，品种选择不仅仅只看最终产量，也要看是否适宜机械化生产。高产、高糖、抗逆性强、宿根年限长的品种可以获得更好的长期收益；同时分蘖力强、成茎率高、茎蘖长势整齐，可以保证有效茎数和产量，并确保甘蔗成熟度一致，以适应机械收获对原料整齐度的需求；此外，株高茎径中等、直立抗倒、易脱叶等性状，便于机械收获，以及减少枯叶夹杂，从而降低机收损失和含杂率，确保全程机械化作业的顺畅与高效。</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0FE1EC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tcPr>
          <w:p w14:paraId="4D929952">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879725" cy="1468120"/>
                  <wp:effectExtent l="0" t="0" r="15875" b="177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1"/>
                          <a:stretch>
                            <a:fillRect/>
                          </a:stretch>
                        </pic:blipFill>
                        <pic:spPr>
                          <a:xfrm>
                            <a:off x="0" y="0"/>
                            <a:ext cx="2879725" cy="1468120"/>
                          </a:xfrm>
                          <a:prstGeom prst="rect">
                            <a:avLst/>
                          </a:prstGeom>
                          <a:noFill/>
                          <a:ln>
                            <a:noFill/>
                          </a:ln>
                        </pic:spPr>
                      </pic:pic>
                    </a:graphicData>
                  </a:graphic>
                </wp:inline>
              </w:drawing>
            </w:r>
          </w:p>
        </w:tc>
        <w:tc>
          <w:tcPr>
            <w:tcW w:w="4587" w:type="dxa"/>
          </w:tcPr>
          <w:p w14:paraId="4ACEB23E">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default"/>
              </w:rPr>
            </w:pPr>
            <w:r>
              <w:rPr>
                <w:rFonts w:hint="default"/>
              </w:rPr>
              <w:drawing>
                <wp:inline distT="0" distB="0" distL="114300" distR="114300">
                  <wp:extent cx="2879725" cy="1443355"/>
                  <wp:effectExtent l="0" t="0" r="15875" b="444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2"/>
                          <a:stretch>
                            <a:fillRect/>
                          </a:stretch>
                        </pic:blipFill>
                        <pic:spPr>
                          <a:xfrm>
                            <a:off x="0" y="0"/>
                            <a:ext cx="2879725" cy="1443355"/>
                          </a:xfrm>
                          <a:prstGeom prst="rect">
                            <a:avLst/>
                          </a:prstGeom>
                          <a:noFill/>
                          <a:ln>
                            <a:noFill/>
                          </a:ln>
                        </pic:spPr>
                      </pic:pic>
                    </a:graphicData>
                  </a:graphic>
                </wp:inline>
              </w:drawing>
            </w:r>
          </w:p>
        </w:tc>
      </w:tr>
      <w:tr w14:paraId="1E015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tcPr>
          <w:p w14:paraId="2CECD7C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Segoe UI" w:hAnsi="Segoe UI" w:eastAsia="宋体" w:cs="Segoe UI"/>
                <w:i w:val="0"/>
                <w:iCs w:val="0"/>
                <w:caps w:val="0"/>
                <w:color w:val="0F1115"/>
                <w:spacing w:val="0"/>
                <w:sz w:val="24"/>
                <w:szCs w:val="24"/>
                <w:shd w:val="clear" w:fill="FFFFFF"/>
                <w:lang w:val="en-US" w:eastAsia="zh-CN"/>
              </w:rPr>
            </w:pPr>
            <w:r>
              <w:rPr>
                <w:rFonts w:hint="eastAsia" w:ascii="Segoe UI" w:hAnsi="Segoe UI" w:eastAsia="宋体" w:cs="Segoe UI"/>
                <w:i w:val="0"/>
                <w:iCs w:val="0"/>
                <w:caps w:val="0"/>
                <w:color w:val="0F1115"/>
                <w:spacing w:val="0"/>
                <w:sz w:val="24"/>
                <w:szCs w:val="24"/>
                <w:shd w:val="clear" w:fill="FFFFFF"/>
                <w:lang w:val="en-US" w:eastAsia="zh-CN"/>
              </w:rPr>
              <w:t>图4 桂糖系列甘蔗品种</w:t>
            </w:r>
          </w:p>
        </w:tc>
      </w:tr>
    </w:tbl>
    <w:p w14:paraId="62A159B8">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default" w:ascii="仿宋_GB2312" w:hAnsi="宋体"/>
          <w:color w:val="auto"/>
          <w:sz w:val="32"/>
          <w:szCs w:val="32"/>
          <w:highlight w:val="none"/>
          <w:lang w:val="en-US" w:eastAsia="zh-CN"/>
        </w:rPr>
        <w:t>广西壮族自治区农业科学院甘蔗所自主培育的桂糖系列甘蔗品种种植面积695.44万亩，在全区1178.54万亩糖料蔗种植面积中占59.01%，已连续6年成为全国种植面积最大的系列甘蔗品种</w:t>
      </w:r>
      <w:r>
        <w:rPr>
          <w:rFonts w:hint="eastAsia" w:ascii="仿宋_GB2312" w:hAnsi="宋体"/>
          <w:color w:val="auto"/>
          <w:sz w:val="32"/>
          <w:szCs w:val="32"/>
          <w:highlight w:val="none"/>
          <w:lang w:val="en-US" w:eastAsia="zh-CN"/>
        </w:rPr>
        <w:t>。其中桂糖44号占比13.70%排第三，是全国首个大面积推广种植的强宿根性、宜机械化收获的早熟高糖甘蔗品种，已得到制糖企业和种植户的广泛认可。</w:t>
      </w:r>
    </w:p>
    <w:p w14:paraId="0E098288">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3.2种茎准备</w:t>
      </w:r>
    </w:p>
    <w:p w14:paraId="4EC7BFB0">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选用具备杀菌、杀虫、促根、促分蘖作用的包衣脱毒种茎，将病虫害防护和营养促进相结合，替代人工处理，为大规模机械播种提供条件。采用双芽段种茎、长度控制在20cm至25cm，匹配播种机的标准化作业，防止卡种或断垄，保证下种均匀和播种精度。</w:t>
      </w:r>
    </w:p>
    <w:p w14:paraId="18043BFB">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3.3机械种植</w:t>
      </w:r>
    </w:p>
    <w:p w14:paraId="427C74FF">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3.3.1下种期</w:t>
      </w:r>
    </w:p>
    <w:p w14:paraId="74802D2E">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根据蔗区位置及甘蔗品种特性，按需选择下种期。目前主要推广甘蔗品种主要有春植、秋植、冬植，主要甘蔗品种种植季节见表1。冬植蔗：11月-次年1月，利于早萌发，延长生长期，需覆膜保温；春植蔗：2-3月，气温回升，出苗稳定，适配广西多数蔗区；秋植蔗：8-10月，利用秋季雨水促进萌芽。</w:t>
      </w:r>
    </w:p>
    <w:p w14:paraId="0A306447">
      <w:pPr>
        <w:keepNext w:val="0"/>
        <w:keepLines w:val="0"/>
        <w:pageBreakBefore w:val="0"/>
        <w:kinsoku/>
        <w:overflowPunct/>
        <w:topLinePunct w:val="0"/>
        <w:bidi w:val="0"/>
        <w:snapToGrid/>
        <w:ind w:left="0" w:leftChars="0" w:firstLine="0" w:firstLineChars="0"/>
        <w:jc w:val="center"/>
        <w:textAlignment w:val="auto"/>
        <w:rPr>
          <w:rFonts w:hint="default" w:ascii="仿宋_GB2312" w:hAnsi="宋体"/>
          <w:color w:val="auto"/>
          <w:sz w:val="28"/>
          <w:szCs w:val="28"/>
          <w:highlight w:val="none"/>
          <w:lang w:val="en-US" w:eastAsia="zh-CN"/>
        </w:rPr>
      </w:pPr>
      <w:r>
        <w:rPr>
          <w:rFonts w:hint="eastAsia" w:ascii="仿宋_GB2312" w:hAnsi="宋体"/>
          <w:color w:val="auto"/>
          <w:sz w:val="28"/>
          <w:szCs w:val="28"/>
          <w:highlight w:val="none"/>
          <w:lang w:val="en-US" w:eastAsia="zh-CN"/>
        </w:rPr>
        <w:t>表1 主要甘蔗品种适宜种植季节</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6"/>
        <w:gridCol w:w="1800"/>
        <w:gridCol w:w="6508"/>
      </w:tblGrid>
      <w:tr w14:paraId="58FED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6" w:type="dxa"/>
            <w:vAlign w:val="center"/>
          </w:tcPr>
          <w:p w14:paraId="73761C1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vertAlign w:val="baseline"/>
                <w:lang w:val="en-US" w:eastAsia="zh-CN"/>
              </w:rPr>
              <w:t>序号</w:t>
            </w:r>
          </w:p>
        </w:tc>
        <w:tc>
          <w:tcPr>
            <w:tcW w:w="1800" w:type="dxa"/>
            <w:vAlign w:val="center"/>
          </w:tcPr>
          <w:p w14:paraId="126959C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vertAlign w:val="baseline"/>
                <w:lang w:val="en-US" w:eastAsia="zh-CN"/>
              </w:rPr>
              <w:t>品种</w:t>
            </w:r>
          </w:p>
        </w:tc>
        <w:tc>
          <w:tcPr>
            <w:tcW w:w="6508" w:type="dxa"/>
            <w:vAlign w:val="center"/>
          </w:tcPr>
          <w:p w14:paraId="50843BA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vertAlign w:val="baseline"/>
                <w:lang w:val="en-US" w:eastAsia="zh-CN"/>
              </w:rPr>
              <w:t>种植季节</w:t>
            </w:r>
          </w:p>
        </w:tc>
      </w:tr>
      <w:tr w14:paraId="49764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6" w:type="dxa"/>
            <w:vAlign w:val="center"/>
          </w:tcPr>
          <w:p w14:paraId="268FA93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vertAlign w:val="baseline"/>
                <w:lang w:val="en-US" w:eastAsia="zh-CN"/>
              </w:rPr>
              <w:t>1</w:t>
            </w:r>
          </w:p>
        </w:tc>
        <w:tc>
          <w:tcPr>
            <w:tcW w:w="1800" w:type="dxa"/>
            <w:vAlign w:val="center"/>
          </w:tcPr>
          <w:p w14:paraId="551DCEA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lang w:val="en-US" w:eastAsia="zh-CN"/>
              </w:rPr>
              <w:t>桂糖44号</w:t>
            </w:r>
          </w:p>
        </w:tc>
        <w:tc>
          <w:tcPr>
            <w:tcW w:w="6508" w:type="dxa"/>
            <w:vAlign w:val="center"/>
          </w:tcPr>
          <w:p w14:paraId="5A6F9E1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lang w:val="en-US" w:eastAsia="zh-CN"/>
              </w:rPr>
              <w:t>一年四季均可播种，但以冬植(1月份)和早春植(2月份)为佳</w:t>
            </w:r>
          </w:p>
        </w:tc>
      </w:tr>
      <w:tr w14:paraId="5FE81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6" w:type="dxa"/>
            <w:vAlign w:val="center"/>
          </w:tcPr>
          <w:p w14:paraId="3BA515C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vertAlign w:val="baseline"/>
                <w:lang w:val="en-US" w:eastAsia="zh-CN"/>
              </w:rPr>
              <w:t>2</w:t>
            </w:r>
          </w:p>
        </w:tc>
        <w:tc>
          <w:tcPr>
            <w:tcW w:w="1800" w:type="dxa"/>
            <w:vAlign w:val="center"/>
          </w:tcPr>
          <w:p w14:paraId="144F98C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lang w:val="en-US" w:eastAsia="zh-CN"/>
              </w:rPr>
              <w:t>桂糖47号</w:t>
            </w:r>
          </w:p>
        </w:tc>
        <w:tc>
          <w:tcPr>
            <w:tcW w:w="6508" w:type="dxa"/>
            <w:vAlign w:val="center"/>
          </w:tcPr>
          <w:p w14:paraId="70342D5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lang w:val="en-US" w:eastAsia="zh-CN"/>
              </w:rPr>
              <w:t>宜春植，2月份至3月份为佳，应尽量在3月中下旬前完成种植，有条件的蔗区可选秋植(6月下旬至9月下旬)或冬植(11月份至翌年1月份）</w:t>
            </w:r>
          </w:p>
        </w:tc>
      </w:tr>
      <w:tr w14:paraId="2EE4F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6" w:type="dxa"/>
            <w:vAlign w:val="center"/>
          </w:tcPr>
          <w:p w14:paraId="484140B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vertAlign w:val="baseline"/>
                <w:lang w:val="en-US" w:eastAsia="zh-CN"/>
              </w:rPr>
              <w:t>3</w:t>
            </w:r>
          </w:p>
        </w:tc>
        <w:tc>
          <w:tcPr>
            <w:tcW w:w="1800" w:type="dxa"/>
            <w:vAlign w:val="center"/>
          </w:tcPr>
          <w:p w14:paraId="78EB274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lang w:val="en-US" w:eastAsia="zh-CN"/>
              </w:rPr>
              <w:t>桂糖49号</w:t>
            </w:r>
          </w:p>
        </w:tc>
        <w:tc>
          <w:tcPr>
            <w:tcW w:w="6508" w:type="dxa"/>
            <w:vAlign w:val="center"/>
          </w:tcPr>
          <w:p w14:paraId="2E57F6E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lang w:val="en-US" w:eastAsia="zh-CN"/>
              </w:rPr>
              <w:t>适宜春、秋、冬植。</w:t>
            </w:r>
          </w:p>
        </w:tc>
      </w:tr>
      <w:tr w14:paraId="2835E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6" w:type="dxa"/>
            <w:vAlign w:val="center"/>
          </w:tcPr>
          <w:p w14:paraId="5DD7F5A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vertAlign w:val="baseline"/>
                <w:lang w:val="en-US" w:eastAsia="zh-CN"/>
              </w:rPr>
              <w:t>4</w:t>
            </w:r>
          </w:p>
        </w:tc>
        <w:tc>
          <w:tcPr>
            <w:tcW w:w="1800" w:type="dxa"/>
            <w:vAlign w:val="center"/>
          </w:tcPr>
          <w:p w14:paraId="47F43C5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lang w:val="en-US" w:eastAsia="zh-CN"/>
              </w:rPr>
              <w:t>桂糖58号</w:t>
            </w:r>
          </w:p>
        </w:tc>
        <w:tc>
          <w:tcPr>
            <w:tcW w:w="6508" w:type="dxa"/>
            <w:vAlign w:val="center"/>
          </w:tcPr>
          <w:p w14:paraId="0057963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lang w:val="en-US" w:eastAsia="zh-CN"/>
              </w:rPr>
              <w:t>适宜春季、秋季和冬季种植，该品种前中期生长速度中等，在种植时需适当早种，以冬植、早春植为好</w:t>
            </w:r>
          </w:p>
        </w:tc>
      </w:tr>
      <w:tr w14:paraId="4AB81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6" w:type="dxa"/>
            <w:vAlign w:val="center"/>
          </w:tcPr>
          <w:p w14:paraId="76B3D84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default"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vertAlign w:val="baseline"/>
                <w:lang w:val="en-US" w:eastAsia="zh-CN"/>
              </w:rPr>
              <w:t>5</w:t>
            </w:r>
          </w:p>
        </w:tc>
        <w:tc>
          <w:tcPr>
            <w:tcW w:w="1800" w:type="dxa"/>
            <w:vAlign w:val="center"/>
          </w:tcPr>
          <w:p w14:paraId="57B24C4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8"/>
                <w:szCs w:val="28"/>
                <w:highlight w:val="none"/>
                <w:lang w:val="en-US" w:eastAsia="zh-CN"/>
              </w:rPr>
            </w:pPr>
            <w:r>
              <w:rPr>
                <w:rFonts w:hint="eastAsia" w:ascii="仿宋_GB2312" w:hAnsi="宋体"/>
                <w:color w:val="auto"/>
                <w:sz w:val="28"/>
                <w:szCs w:val="28"/>
                <w:highlight w:val="none"/>
                <w:lang w:val="en-US" w:eastAsia="zh-CN"/>
              </w:rPr>
              <w:t>粤糖00236</w:t>
            </w:r>
          </w:p>
        </w:tc>
        <w:tc>
          <w:tcPr>
            <w:tcW w:w="6508" w:type="dxa"/>
            <w:vAlign w:val="center"/>
          </w:tcPr>
          <w:p w14:paraId="339A55B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center"/>
              <w:textAlignment w:val="auto"/>
              <w:rPr>
                <w:rFonts w:hint="eastAsia" w:ascii="仿宋_GB2312" w:hAnsi="宋体"/>
                <w:color w:val="auto"/>
                <w:sz w:val="28"/>
                <w:szCs w:val="28"/>
                <w:highlight w:val="none"/>
                <w:vertAlign w:val="baseline"/>
                <w:lang w:val="en-US" w:eastAsia="zh-CN"/>
              </w:rPr>
            </w:pPr>
            <w:r>
              <w:rPr>
                <w:rFonts w:hint="eastAsia" w:ascii="仿宋_GB2312" w:hAnsi="宋体"/>
                <w:color w:val="auto"/>
                <w:sz w:val="28"/>
                <w:szCs w:val="28"/>
                <w:highlight w:val="none"/>
                <w:lang w:val="en-US" w:eastAsia="zh-CN"/>
              </w:rPr>
              <w:t>特早熟，甘蔗蔗糖分积累早，对光、温较为敏感，以冬植或早春植为宜</w:t>
            </w:r>
          </w:p>
        </w:tc>
      </w:tr>
      <w:tr w14:paraId="78DA7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4" w:type="dxa"/>
            <w:gridSpan w:val="3"/>
            <w:vAlign w:val="center"/>
          </w:tcPr>
          <w:p w14:paraId="4D048CF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firstLine="0" w:firstLineChars="0"/>
              <w:jc w:val="left"/>
              <w:textAlignment w:val="auto"/>
              <w:rPr>
                <w:rFonts w:hint="default" w:ascii="仿宋_GB2312" w:hAnsi="宋体"/>
                <w:color w:val="auto"/>
                <w:sz w:val="28"/>
                <w:szCs w:val="28"/>
                <w:highlight w:val="none"/>
                <w:lang w:val="en-US" w:eastAsia="zh-CN"/>
              </w:rPr>
            </w:pPr>
            <w:r>
              <w:rPr>
                <w:rFonts w:hint="eastAsia" w:ascii="仿宋_GB2312" w:hAnsi="宋体"/>
                <w:color w:val="auto"/>
                <w:sz w:val="28"/>
                <w:szCs w:val="28"/>
                <w:highlight w:val="none"/>
                <w:lang w:val="en-US" w:eastAsia="zh-CN"/>
              </w:rPr>
              <w:t>注：来自中国种业大数据平台</w:t>
            </w:r>
          </w:p>
        </w:tc>
      </w:tr>
    </w:tbl>
    <w:p w14:paraId="372CFDB7">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3.3.2联合作业</w:t>
      </w:r>
    </w:p>
    <w:p w14:paraId="143CAB65">
      <w:pPr>
        <w:keepNext w:val="0"/>
        <w:keepLines w:val="0"/>
        <w:pageBreakBefore w:val="0"/>
        <w:kinsoku/>
        <w:overflowPunct/>
        <w:topLinePunct w:val="0"/>
        <w:bidi w:val="0"/>
        <w:snapToGrid/>
        <w:ind w:left="0" w:leftChars="0" w:firstLine="640" w:firstLineChars="200"/>
        <w:textAlignment w:val="auto"/>
        <w:rPr>
          <w:rFonts w:hint="default"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使用精量播种机</w:t>
      </w:r>
      <w:r>
        <w:rPr>
          <w:rFonts w:hint="default" w:ascii="仿宋_GB2312" w:hAnsi="宋体"/>
          <w:color w:val="auto"/>
          <w:sz w:val="32"/>
          <w:szCs w:val="32"/>
          <w:highlight w:val="none"/>
          <w:lang w:val="en-US" w:eastAsia="zh-CN"/>
        </w:rPr>
        <w:t>一次性完成摆种、覆土、镇压等多道工序，</w:t>
      </w:r>
      <w:r>
        <w:rPr>
          <w:rFonts w:hint="eastAsia" w:ascii="仿宋_GB2312" w:hAnsi="宋体"/>
          <w:color w:val="auto"/>
          <w:sz w:val="32"/>
          <w:szCs w:val="32"/>
          <w:highlight w:val="none"/>
          <w:lang w:val="en-US" w:eastAsia="zh-CN"/>
        </w:rPr>
        <w:t>可以</w:t>
      </w:r>
      <w:r>
        <w:rPr>
          <w:rFonts w:hint="default" w:ascii="仿宋_GB2312" w:hAnsi="宋体"/>
          <w:color w:val="auto"/>
          <w:sz w:val="32"/>
          <w:szCs w:val="32"/>
          <w:highlight w:val="none"/>
          <w:lang w:val="en-US" w:eastAsia="zh-CN"/>
        </w:rPr>
        <w:t>大幅提升种植效率并确保农艺标准的一致性</w:t>
      </w:r>
      <w:r>
        <w:rPr>
          <w:rFonts w:hint="eastAsia" w:ascii="仿宋_GB2312" w:hAnsi="宋体"/>
          <w:color w:val="auto"/>
          <w:sz w:val="32"/>
          <w:szCs w:val="32"/>
          <w:highlight w:val="none"/>
          <w:lang w:val="en-US" w:eastAsia="zh-CN"/>
        </w:rPr>
        <w:t>。作业期间，播种机除了本身重量，还需携带甘蔗种茎以及作业人员（见图5），因此整体重量较大，需要适配足够大马力的拖拉机，实际生产功率一般采用≥88.3kW的拖拉机。根据种植模式可设置</w:t>
      </w:r>
      <w:r>
        <w:rPr>
          <w:rFonts w:hint="default" w:ascii="仿宋_GB2312" w:hAnsi="宋体"/>
          <w:color w:val="auto"/>
          <w:sz w:val="32"/>
          <w:szCs w:val="32"/>
          <w:highlight w:val="none"/>
          <w:lang w:val="en-US" w:eastAsia="zh-CN"/>
        </w:rPr>
        <w:t>等行距（播种幅宽15cm～20cm）或宽窄行（窄行间距35cm～45cm），</w:t>
      </w:r>
      <w:r>
        <w:rPr>
          <w:rFonts w:hint="eastAsia" w:ascii="仿宋_GB2312" w:hAnsi="宋体"/>
          <w:color w:val="auto"/>
          <w:sz w:val="32"/>
          <w:szCs w:val="32"/>
          <w:highlight w:val="none"/>
          <w:lang w:val="en-US" w:eastAsia="zh-CN"/>
        </w:rPr>
        <w:t>综合了</w:t>
      </w:r>
      <w:r>
        <w:rPr>
          <w:rFonts w:hint="default" w:ascii="仿宋_GB2312" w:hAnsi="宋体"/>
          <w:color w:val="auto"/>
          <w:sz w:val="32"/>
          <w:szCs w:val="32"/>
          <w:highlight w:val="none"/>
          <w:lang w:val="en-US" w:eastAsia="zh-CN"/>
        </w:rPr>
        <w:t>甘蔗群高产</w:t>
      </w:r>
      <w:r>
        <w:rPr>
          <w:rFonts w:hint="eastAsia" w:ascii="仿宋_GB2312" w:hAnsi="宋体"/>
          <w:color w:val="auto"/>
          <w:sz w:val="32"/>
          <w:szCs w:val="32"/>
          <w:highlight w:val="none"/>
          <w:lang w:val="en-US" w:eastAsia="zh-CN"/>
        </w:rPr>
        <w:t>效益以及</w:t>
      </w:r>
      <w:r>
        <w:rPr>
          <w:rFonts w:hint="default" w:ascii="仿宋_GB2312" w:hAnsi="宋体"/>
          <w:color w:val="auto"/>
          <w:sz w:val="32"/>
          <w:szCs w:val="32"/>
          <w:highlight w:val="none"/>
          <w:lang w:val="en-US" w:eastAsia="zh-CN"/>
        </w:rPr>
        <w:t>后续田间管理和机械</w:t>
      </w:r>
      <w:r>
        <w:rPr>
          <w:rFonts w:hint="eastAsia" w:ascii="仿宋_GB2312" w:hAnsi="宋体"/>
          <w:color w:val="auto"/>
          <w:sz w:val="32"/>
          <w:szCs w:val="32"/>
          <w:highlight w:val="none"/>
          <w:lang w:val="en-US" w:eastAsia="zh-CN"/>
        </w:rPr>
        <w:t>收获的</w:t>
      </w:r>
      <w:r>
        <w:rPr>
          <w:rFonts w:hint="default" w:ascii="仿宋_GB2312" w:hAnsi="宋体"/>
          <w:color w:val="auto"/>
          <w:sz w:val="32"/>
          <w:szCs w:val="32"/>
          <w:highlight w:val="none"/>
          <w:lang w:val="en-US" w:eastAsia="zh-CN"/>
        </w:rPr>
        <w:t>作业通道</w:t>
      </w:r>
      <w:r>
        <w:rPr>
          <w:rFonts w:hint="eastAsia" w:ascii="仿宋_GB2312" w:hAnsi="宋体"/>
          <w:color w:val="auto"/>
          <w:sz w:val="32"/>
          <w:szCs w:val="32"/>
          <w:highlight w:val="none"/>
          <w:lang w:val="en-US" w:eastAsia="zh-CN"/>
        </w:rPr>
        <w:t>需求。每亩</w:t>
      </w:r>
      <w:r>
        <w:rPr>
          <w:rFonts w:hint="default" w:ascii="仿宋_GB2312" w:hAnsi="宋体"/>
          <w:color w:val="auto"/>
          <w:sz w:val="32"/>
          <w:szCs w:val="32"/>
          <w:highlight w:val="none"/>
          <w:lang w:val="en-US" w:eastAsia="zh-CN"/>
        </w:rPr>
        <w:t>下种4500～5500芽和25cm～30cm的种植深度（低洼地适当浅种），</w:t>
      </w:r>
      <w:r>
        <w:rPr>
          <w:rFonts w:hint="eastAsia" w:ascii="仿宋_GB2312" w:hAnsi="宋体"/>
          <w:color w:val="auto"/>
          <w:sz w:val="32"/>
          <w:szCs w:val="32"/>
          <w:highlight w:val="none"/>
          <w:lang w:val="en-US" w:eastAsia="zh-CN"/>
        </w:rPr>
        <w:t>确保每</w:t>
      </w:r>
      <w:r>
        <w:rPr>
          <w:rFonts w:hint="default" w:ascii="仿宋_GB2312" w:hAnsi="宋体"/>
          <w:color w:val="auto"/>
          <w:sz w:val="32"/>
          <w:szCs w:val="32"/>
          <w:highlight w:val="none"/>
          <w:lang w:val="en-US" w:eastAsia="zh-CN"/>
        </w:rPr>
        <w:t>亩</w:t>
      </w:r>
      <w:r>
        <w:rPr>
          <w:rFonts w:hint="eastAsia" w:ascii="仿宋_GB2312" w:hAnsi="宋体"/>
          <w:color w:val="auto"/>
          <w:sz w:val="32"/>
          <w:szCs w:val="32"/>
          <w:highlight w:val="none"/>
          <w:lang w:val="en-US" w:eastAsia="zh-CN"/>
        </w:rPr>
        <w:t>的</w:t>
      </w:r>
      <w:r>
        <w:rPr>
          <w:rFonts w:hint="default" w:ascii="仿宋_GB2312" w:hAnsi="宋体"/>
          <w:color w:val="auto"/>
          <w:sz w:val="32"/>
          <w:szCs w:val="32"/>
          <w:highlight w:val="none"/>
          <w:lang w:val="en-US" w:eastAsia="zh-CN"/>
        </w:rPr>
        <w:t>有效茎数，通过深种增强甘蔗的抗旱和抗倒伏能力，确保宿根蔗蔸深扎，延长宿根年限。</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5A0F5E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03F1D831">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879725" cy="1897380"/>
                  <wp:effectExtent l="0" t="0" r="15875" b="762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3"/>
                          <a:stretch>
                            <a:fillRect/>
                          </a:stretch>
                        </pic:blipFill>
                        <pic:spPr>
                          <a:xfrm>
                            <a:off x="0" y="0"/>
                            <a:ext cx="2879725" cy="1897380"/>
                          </a:xfrm>
                          <a:prstGeom prst="rect">
                            <a:avLst/>
                          </a:prstGeom>
                          <a:noFill/>
                          <a:ln>
                            <a:noFill/>
                          </a:ln>
                        </pic:spPr>
                      </pic:pic>
                    </a:graphicData>
                  </a:graphic>
                </wp:inline>
              </w:drawing>
            </w:r>
          </w:p>
        </w:tc>
      </w:tr>
      <w:tr w14:paraId="5D59B4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375A05A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仿宋_GB2312" w:hAnsi="宋体" w:eastAsia="仿宋_GB2312"/>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图5 种植作业</w:t>
            </w:r>
          </w:p>
        </w:tc>
      </w:tr>
    </w:tbl>
    <w:p w14:paraId="29B84290">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3.3.3封闭处理</w:t>
      </w:r>
    </w:p>
    <w:p w14:paraId="1EC08159">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zh-CN" w:eastAsia="zh-CN"/>
        </w:rPr>
      </w:pPr>
      <w:r>
        <w:rPr>
          <w:rFonts w:hint="eastAsia" w:ascii="仿宋_GB2312" w:hAnsi="宋体"/>
          <w:color w:val="auto"/>
          <w:sz w:val="32"/>
          <w:szCs w:val="32"/>
          <w:highlight w:val="none"/>
          <w:lang w:val="en-US" w:eastAsia="zh-CN"/>
        </w:rPr>
        <w:t>甘蔗</w:t>
      </w:r>
      <w:r>
        <w:rPr>
          <w:rFonts w:hint="eastAsia" w:ascii="仿宋_GB2312" w:hAnsi="宋体"/>
          <w:color w:val="auto"/>
          <w:sz w:val="32"/>
          <w:szCs w:val="32"/>
          <w:highlight w:val="none"/>
          <w:lang w:val="zh-CN" w:eastAsia="zh-CN"/>
        </w:rPr>
        <w:t>从种植到出苗期间，经历时间长，为保证不受杂草危害，种植后7日内做好封闭防草工作。乙草胺适用于甘蔗播种后至出苗前土壤封闭处理，莠去津适用于甘蔗出苗后早期杂草防治，兼具封闭和触杀作用。使用拖拉机配套的喷杆式喷雾机（</w:t>
      </w:r>
      <w:r>
        <w:rPr>
          <w:rFonts w:hint="eastAsia" w:ascii="仿宋_GB2312" w:hAnsi="宋体"/>
          <w:color w:val="auto"/>
          <w:sz w:val="32"/>
          <w:szCs w:val="32"/>
          <w:highlight w:val="none"/>
          <w:lang w:val="en-US" w:eastAsia="zh-CN"/>
        </w:rPr>
        <w:t>见图6）</w:t>
      </w:r>
      <w:r>
        <w:rPr>
          <w:rFonts w:hint="eastAsia" w:ascii="仿宋_GB2312" w:hAnsi="宋体"/>
          <w:color w:val="auto"/>
          <w:sz w:val="32"/>
          <w:szCs w:val="32"/>
          <w:highlight w:val="none"/>
          <w:lang w:val="zh-CN" w:eastAsia="zh-CN"/>
        </w:rPr>
        <w:t>均匀喷施莠去津与乙草胺混合液，以高效、均匀的机械化作业替代人工，从源头上控制苗期草害，减少杂草与蔗苗争水争肥，为甘蔗的齐苗壮苗创造良好生长环境。</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70F892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2284BB7D">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879725" cy="1813560"/>
                  <wp:effectExtent l="0" t="0" r="15875" b="1524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4"/>
                          <a:stretch>
                            <a:fillRect/>
                          </a:stretch>
                        </pic:blipFill>
                        <pic:spPr>
                          <a:xfrm>
                            <a:off x="0" y="0"/>
                            <a:ext cx="2879725" cy="1813560"/>
                          </a:xfrm>
                          <a:prstGeom prst="rect">
                            <a:avLst/>
                          </a:prstGeom>
                          <a:noFill/>
                          <a:ln>
                            <a:noFill/>
                          </a:ln>
                        </pic:spPr>
                      </pic:pic>
                    </a:graphicData>
                  </a:graphic>
                </wp:inline>
              </w:drawing>
            </w:r>
          </w:p>
        </w:tc>
      </w:tr>
      <w:tr w14:paraId="1E2016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221B31F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仿宋_GB2312" w:hAnsi="宋体" w:eastAsia="仿宋_GB2312"/>
                <w:b/>
                <w:bCs/>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图6 机械喷除草剂封闭</w:t>
            </w:r>
          </w:p>
        </w:tc>
      </w:tr>
    </w:tbl>
    <w:p w14:paraId="5E3A64E9">
      <w:pPr>
        <w:keepNext w:val="0"/>
        <w:keepLines w:val="0"/>
        <w:pageBreakBefore w:val="0"/>
        <w:numPr>
          <w:ilvl w:val="0"/>
          <w:numId w:val="0"/>
        </w:numPr>
        <w:kinsoku/>
        <w:overflowPunct/>
        <w:topLinePunct w:val="0"/>
        <w:bidi w:val="0"/>
        <w:snapToGrid/>
        <w:ind w:left="0" w:leftChars="0" w:firstLine="643" w:firstLineChars="200"/>
        <w:textAlignment w:val="auto"/>
        <w:rPr>
          <w:rFonts w:hint="default" w:ascii="仿宋_GB2312" w:hAnsi="宋体" w:cs="Times New Roman"/>
          <w:b/>
          <w:color w:val="auto"/>
          <w:kern w:val="2"/>
          <w:sz w:val="32"/>
          <w:szCs w:val="32"/>
          <w:highlight w:val="none"/>
          <w:lang w:val="en-US" w:eastAsia="zh-CN" w:bidi="ar-SA"/>
        </w:rPr>
      </w:pPr>
      <w:r>
        <w:rPr>
          <w:rFonts w:hint="eastAsia" w:ascii="仿宋_GB2312" w:hAnsi="宋体" w:eastAsia="仿宋_GB2312" w:cs="Times New Roman"/>
          <w:b/>
          <w:color w:val="auto"/>
          <w:kern w:val="2"/>
          <w:sz w:val="32"/>
          <w:szCs w:val="32"/>
          <w:lang w:val="en-US" w:eastAsia="zh-CN" w:bidi="ar-SA"/>
        </w:rPr>
        <w:t>（</w:t>
      </w:r>
      <w:r>
        <w:rPr>
          <w:rFonts w:hint="eastAsia" w:ascii="仿宋_GB2312" w:hAnsi="宋体" w:cs="Times New Roman"/>
          <w:b/>
          <w:color w:val="auto"/>
          <w:kern w:val="2"/>
          <w:sz w:val="32"/>
          <w:szCs w:val="32"/>
          <w:lang w:val="en-US" w:eastAsia="zh-CN" w:bidi="ar-SA"/>
        </w:rPr>
        <w:t>四</w:t>
      </w:r>
      <w:r>
        <w:rPr>
          <w:rFonts w:hint="eastAsia" w:ascii="仿宋_GB2312" w:hAnsi="宋体" w:eastAsia="仿宋_GB2312" w:cs="Times New Roman"/>
          <w:b/>
          <w:color w:val="auto"/>
          <w:kern w:val="2"/>
          <w:sz w:val="32"/>
          <w:szCs w:val="32"/>
          <w:lang w:val="en-US" w:eastAsia="zh-CN" w:bidi="ar-SA"/>
        </w:rPr>
        <w:t>）</w:t>
      </w:r>
      <w:r>
        <w:rPr>
          <w:rFonts w:hint="eastAsia" w:ascii="仿宋_GB2312" w:hAnsi="宋体" w:cs="Times New Roman"/>
          <w:b/>
          <w:color w:val="auto"/>
          <w:kern w:val="2"/>
          <w:sz w:val="32"/>
          <w:szCs w:val="32"/>
          <w:lang w:val="en-US" w:eastAsia="zh-CN" w:bidi="ar-SA"/>
        </w:rPr>
        <w:t>田园管理</w:t>
      </w:r>
    </w:p>
    <w:p w14:paraId="61307835">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4.1机械除草</w:t>
      </w:r>
    </w:p>
    <w:p w14:paraId="50006B48">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highlight w:val="none"/>
          <w:lang w:val="en-US" w:eastAsia="zh-CN"/>
        </w:rPr>
      </w:pPr>
      <w:r>
        <w:rPr>
          <w:rFonts w:hint="default" w:ascii="仿宋_GB2312" w:hAnsi="宋体"/>
          <w:color w:val="auto"/>
          <w:sz w:val="32"/>
          <w:szCs w:val="32"/>
          <w:highlight w:val="none"/>
          <w:lang w:val="en-US" w:eastAsia="zh-CN"/>
        </w:rPr>
        <w:t>蔗未拔节时（跨行除草）</w:t>
      </w:r>
      <w:r>
        <w:rPr>
          <w:rFonts w:hint="eastAsia" w:ascii="仿宋_GB2312" w:hAnsi="宋体"/>
          <w:color w:val="auto"/>
          <w:sz w:val="32"/>
          <w:szCs w:val="32"/>
          <w:highlight w:val="none"/>
          <w:lang w:val="en-US" w:eastAsia="zh-CN"/>
        </w:rPr>
        <w:t>，</w:t>
      </w:r>
      <w:r>
        <w:rPr>
          <w:rFonts w:hint="default" w:ascii="仿宋_GB2312" w:hAnsi="宋体"/>
          <w:color w:val="auto"/>
          <w:sz w:val="32"/>
          <w:szCs w:val="32"/>
          <w:highlight w:val="none"/>
          <w:lang w:val="en-US" w:eastAsia="zh-CN"/>
        </w:rPr>
        <w:t>此时甘蔗植株较矮小，行间空间相对开阔，但杂草生长密集且根系发达。跨行除草需拖拉机带动旋耕除草机在行间较大范围内作业，需克服杂草根系与土壤的较大阻力，对拖拉机动力要求较高。</w:t>
      </w:r>
    </w:p>
    <w:p w14:paraId="45E9394B">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highlight w:val="none"/>
          <w:lang w:val="en-US" w:eastAsia="zh-CN"/>
        </w:rPr>
      </w:pPr>
      <w:r>
        <w:rPr>
          <w:rFonts w:hint="default" w:ascii="仿宋_GB2312" w:hAnsi="宋体"/>
          <w:color w:val="auto"/>
          <w:sz w:val="32"/>
          <w:szCs w:val="32"/>
          <w:highlight w:val="none"/>
          <w:lang w:val="en-US" w:eastAsia="zh-CN"/>
        </w:rPr>
        <w:t>拔节后甘蔗植株增高、茎秆变粗，行间空间变窄，需使用窄轮拖拉机（外廓宽度100cm-110cm）在行间精准作业，避免碰撞甘蔗植株。行间除草主要是在甘蔗行间狭小区域作业，杂草阻力相对跨行作业较小，且窄轮拖拉机重心更稳，对动力需求相对较低。44.2kW-51.5kW（约60-70马力）的功率足以驱动旋耕除草机完成行间除草任务，同时兼顾作业效率和经济性。</w:t>
      </w:r>
      <w:r>
        <w:rPr>
          <w:rFonts w:hint="eastAsia" w:ascii="仿宋_GB2312" w:hAnsi="宋体"/>
          <w:color w:val="auto"/>
          <w:sz w:val="32"/>
          <w:szCs w:val="32"/>
          <w:highlight w:val="none"/>
          <w:lang w:val="en-US" w:eastAsia="zh-CN"/>
        </w:rPr>
        <w:t>同时，</w:t>
      </w:r>
      <w:r>
        <w:rPr>
          <w:rFonts w:hint="default" w:ascii="仿宋_GB2312" w:hAnsi="宋体"/>
          <w:color w:val="auto"/>
          <w:sz w:val="32"/>
          <w:szCs w:val="32"/>
          <w:highlight w:val="none"/>
          <w:lang w:val="en-US" w:eastAsia="zh-CN"/>
        </w:rPr>
        <w:t>较低功率的窄轮拖拉机在行间作业时更易控制，能更精准地调整作业位置和深度，减少对甘蔗植株的损伤风险</w:t>
      </w:r>
      <w:r>
        <w:rPr>
          <w:rFonts w:hint="eastAsia" w:ascii="仿宋_GB2312" w:hAnsi="宋体"/>
          <w:color w:val="auto"/>
          <w:sz w:val="32"/>
          <w:szCs w:val="32"/>
          <w:highlight w:val="none"/>
          <w:lang w:val="en-US" w:eastAsia="zh-CN"/>
        </w:rPr>
        <w:t>。</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1C82C3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138EB5C8">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879725" cy="1841500"/>
                  <wp:effectExtent l="0" t="0" r="15875" b="635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5"/>
                          <a:stretch>
                            <a:fillRect/>
                          </a:stretch>
                        </pic:blipFill>
                        <pic:spPr>
                          <a:xfrm>
                            <a:off x="0" y="0"/>
                            <a:ext cx="2879725" cy="1841500"/>
                          </a:xfrm>
                          <a:prstGeom prst="rect">
                            <a:avLst/>
                          </a:prstGeom>
                          <a:noFill/>
                          <a:ln>
                            <a:noFill/>
                          </a:ln>
                        </pic:spPr>
                      </pic:pic>
                    </a:graphicData>
                  </a:graphic>
                </wp:inline>
              </w:drawing>
            </w:r>
          </w:p>
        </w:tc>
      </w:tr>
      <w:tr w14:paraId="404D04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174" w:type="dxa"/>
          </w:tcPr>
          <w:p w14:paraId="22C3FA1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仿宋_GB2312" w:hAnsi="宋体" w:eastAsia="仿宋_GB2312"/>
                <w:b/>
                <w:bCs/>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图7 机械除草</w:t>
            </w:r>
          </w:p>
        </w:tc>
      </w:tr>
    </w:tbl>
    <w:p w14:paraId="2FFA8871">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4.2培土</w:t>
      </w:r>
    </w:p>
    <w:p w14:paraId="7097F486">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小培土阶段目标是促进分蘖、强健苗架。高磷能促进根系快速生长，为后续吸收水肥打下基础；中氮保证叶片生长同时防止徒长；中钾则让幼苗茎秆坚韧，提高抗逆性。大培土阶段目标是催长蔗茎、奠定高产。高氮满足拔节时叶片大量生长进行光合作用的需求；高钾促进糖分积累和茎秆粗壮，增强抗倒伏能力；磷需求相对下降，主要起协同作用。</w:t>
      </w:r>
    </w:p>
    <w:p w14:paraId="152C3830">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比如，广西农业科学院甘蔗研究所针对氮肥施用方式对甘蔗产量及土壤养分变化的影响进行研究。《谢金兰，王维赞，朱秋珍，刘晓燕，梁强，李毅杰等，氮肥施用方式对甘蔗产量及土壤养分变化的影响，南方农业学报，2013》，设3个不同氮肥施用量(A1:低氮，138kg N/ha;A2:中氮,276kg N/ha;A3:高氮,414kg N/ha)和3种不同氮肥施用方式(B1:氨肥10%作为基肥，30%结合小培土施用,60%结合大培土施用;B2:氮肥30%作为基肥，70%结合小培土施用;B3:氮肥在甘蔗种植时全部作为基肥一次性施用),共9个处理组合,3个重复.结果表明，甘蔗产量随施氮量增加而增加，但大量施用氮肥会造成土壤酸化，甘蔗合理施用方式为两次分施,施氮量为138-276kg N/ha。</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302E2C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09DF34C6">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879725" cy="2131060"/>
                  <wp:effectExtent l="0" t="0" r="15875" b="254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6"/>
                          <a:stretch>
                            <a:fillRect/>
                          </a:stretch>
                        </pic:blipFill>
                        <pic:spPr>
                          <a:xfrm>
                            <a:off x="0" y="0"/>
                            <a:ext cx="2879725" cy="2131060"/>
                          </a:xfrm>
                          <a:prstGeom prst="rect">
                            <a:avLst/>
                          </a:prstGeom>
                          <a:noFill/>
                          <a:ln>
                            <a:noFill/>
                          </a:ln>
                        </pic:spPr>
                      </pic:pic>
                    </a:graphicData>
                  </a:graphic>
                </wp:inline>
              </w:drawing>
            </w:r>
          </w:p>
        </w:tc>
      </w:tr>
      <w:tr w14:paraId="6CDE7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3560315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仿宋_GB2312" w:hAnsi="宋体" w:eastAsia="仿宋_GB2312"/>
                <w:b/>
                <w:bCs/>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图8 田间跨行施肥培土</w:t>
            </w:r>
          </w:p>
        </w:tc>
      </w:tr>
      <w:tr w14:paraId="2A627F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6882BBA0">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879725" cy="2000250"/>
                  <wp:effectExtent l="0" t="0" r="15875" b="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7"/>
                          <a:stretch>
                            <a:fillRect/>
                          </a:stretch>
                        </pic:blipFill>
                        <pic:spPr>
                          <a:xfrm>
                            <a:off x="0" y="0"/>
                            <a:ext cx="2879725" cy="2000250"/>
                          </a:xfrm>
                          <a:prstGeom prst="rect">
                            <a:avLst/>
                          </a:prstGeom>
                          <a:noFill/>
                          <a:ln>
                            <a:noFill/>
                          </a:ln>
                        </pic:spPr>
                      </pic:pic>
                    </a:graphicData>
                  </a:graphic>
                </wp:inline>
              </w:drawing>
            </w:r>
          </w:p>
        </w:tc>
      </w:tr>
      <w:tr w14:paraId="796585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3C8A194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仿宋_GB2312" w:hAnsi="宋体" w:eastAsia="仿宋_GB2312"/>
                <w:b/>
                <w:bCs/>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图9 行间施肥培土</w:t>
            </w:r>
          </w:p>
        </w:tc>
      </w:tr>
    </w:tbl>
    <w:p w14:paraId="65EB82D8">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4.3施攻茎肥</w:t>
      </w:r>
    </w:p>
    <w:p w14:paraId="28AD3510">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highlight w:val="none"/>
          <w:lang w:val="en-US" w:eastAsia="zh-CN"/>
        </w:rPr>
      </w:pPr>
      <w:r>
        <w:rPr>
          <w:rFonts w:hint="default" w:ascii="仿宋_GB2312" w:hAnsi="宋体"/>
          <w:color w:val="auto"/>
          <w:sz w:val="32"/>
          <w:szCs w:val="32"/>
          <w:highlight w:val="none"/>
          <w:lang w:val="en-US" w:eastAsia="zh-CN"/>
        </w:rPr>
        <w:t>8月上旬正值广西甘蔗拔节生长的最快时期，此时重施一次以高氮、高钾复合肥，以满足茎秆快速伸长的养分需求</w:t>
      </w:r>
      <w:r>
        <w:rPr>
          <w:rFonts w:hint="eastAsia" w:ascii="仿宋_GB2312" w:hAnsi="宋体"/>
          <w:color w:val="auto"/>
          <w:sz w:val="32"/>
          <w:szCs w:val="32"/>
          <w:highlight w:val="none"/>
          <w:lang w:val="en-US" w:eastAsia="zh-CN"/>
        </w:rPr>
        <w:t>。</w:t>
      </w:r>
      <w:r>
        <w:rPr>
          <w:rFonts w:hint="default" w:ascii="仿宋_GB2312" w:hAnsi="宋体"/>
          <w:color w:val="auto"/>
          <w:sz w:val="32"/>
          <w:szCs w:val="32"/>
          <w:highlight w:val="none"/>
          <w:lang w:val="en-US" w:eastAsia="zh-CN"/>
        </w:rPr>
        <w:t>采用窄轮拖拉机在行间作业，以适中的功率（44.2-51.5kW）</w:t>
      </w:r>
      <w:r>
        <w:rPr>
          <w:rFonts w:hint="eastAsia" w:ascii="仿宋_GB2312" w:hAnsi="宋体"/>
          <w:color w:val="auto"/>
          <w:sz w:val="32"/>
          <w:szCs w:val="32"/>
          <w:highlight w:val="none"/>
          <w:lang w:val="en-US" w:eastAsia="zh-CN"/>
        </w:rPr>
        <w:t>即可</w:t>
      </w:r>
      <w:r>
        <w:rPr>
          <w:rFonts w:hint="default" w:ascii="仿宋_GB2312" w:hAnsi="宋体"/>
          <w:color w:val="auto"/>
          <w:sz w:val="32"/>
          <w:szCs w:val="32"/>
          <w:highlight w:val="none"/>
          <w:lang w:val="en-US" w:eastAsia="zh-CN"/>
        </w:rPr>
        <w:t>高效完成追肥浅覆土</w:t>
      </w:r>
      <w:r>
        <w:rPr>
          <w:rFonts w:hint="eastAsia" w:ascii="仿宋_GB2312" w:hAnsi="宋体"/>
          <w:color w:val="auto"/>
          <w:sz w:val="32"/>
          <w:szCs w:val="32"/>
          <w:highlight w:val="none"/>
          <w:lang w:val="en-US" w:eastAsia="zh-CN"/>
        </w:rPr>
        <w:t>，还可</w:t>
      </w:r>
      <w:r>
        <w:rPr>
          <w:rFonts w:hint="default" w:ascii="仿宋_GB2312" w:hAnsi="宋体"/>
          <w:color w:val="auto"/>
          <w:sz w:val="32"/>
          <w:szCs w:val="32"/>
          <w:highlight w:val="none"/>
          <w:lang w:val="en-US" w:eastAsia="zh-CN"/>
        </w:rPr>
        <w:t>避免压伤已长高的蔗茎，</w:t>
      </w:r>
      <w:r>
        <w:rPr>
          <w:rFonts w:hint="eastAsia" w:ascii="仿宋_GB2312" w:hAnsi="宋体"/>
          <w:color w:val="auto"/>
          <w:sz w:val="32"/>
          <w:szCs w:val="32"/>
          <w:highlight w:val="none"/>
          <w:lang w:val="en-US" w:eastAsia="zh-CN"/>
        </w:rPr>
        <w:t>保证</w:t>
      </w:r>
      <w:r>
        <w:rPr>
          <w:rFonts w:hint="default" w:ascii="仿宋_GB2312" w:hAnsi="宋体"/>
          <w:color w:val="auto"/>
          <w:sz w:val="32"/>
          <w:szCs w:val="32"/>
          <w:highlight w:val="none"/>
          <w:lang w:val="en-US" w:eastAsia="zh-CN"/>
        </w:rPr>
        <w:t>甘蔗产量。</w:t>
      </w:r>
    </w:p>
    <w:p w14:paraId="0B0094A7">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4.4水分管理</w:t>
      </w:r>
    </w:p>
    <w:p w14:paraId="5E812FC7">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highlight w:val="none"/>
          <w:lang w:val="en-US" w:eastAsia="zh-CN"/>
        </w:rPr>
      </w:pPr>
      <w:r>
        <w:rPr>
          <w:rFonts w:hint="default" w:ascii="仿宋_GB2312" w:hAnsi="宋体"/>
          <w:color w:val="auto"/>
          <w:sz w:val="32"/>
          <w:szCs w:val="32"/>
          <w:highlight w:val="none"/>
          <w:lang w:val="en-US" w:eastAsia="zh-CN"/>
        </w:rPr>
        <w:t>甘蔗拔节至成熟期需水量大，推广喷灌、滴灌可实现精准节水灌溉和水肥一体化，大幅提升水分利用率</w:t>
      </w:r>
      <w:r>
        <w:rPr>
          <w:rFonts w:hint="eastAsia" w:ascii="仿宋_GB2312" w:hAnsi="宋体"/>
          <w:color w:val="auto"/>
          <w:sz w:val="32"/>
          <w:szCs w:val="32"/>
          <w:highlight w:val="none"/>
          <w:lang w:val="en-US" w:eastAsia="zh-CN"/>
        </w:rPr>
        <w:t>。</w:t>
      </w:r>
      <w:r>
        <w:rPr>
          <w:rFonts w:hint="default" w:ascii="仿宋_GB2312" w:hAnsi="宋体"/>
          <w:color w:val="auto"/>
          <w:sz w:val="32"/>
          <w:szCs w:val="32"/>
          <w:highlight w:val="none"/>
          <w:lang w:val="en-US" w:eastAsia="zh-CN"/>
        </w:rPr>
        <w:t>在无灌溉条件的蔗区，通过封沟贮水留住雨水、蔗叶覆盖减少蒸发，是利用自然降水抗御秋旱的传统且有效的保墒手段。</w:t>
      </w:r>
    </w:p>
    <w:p w14:paraId="208324BE">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4.5病虫害防治</w:t>
      </w:r>
    </w:p>
    <w:p w14:paraId="1C2F4B5D">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highlight w:val="none"/>
          <w:lang w:val="en-US" w:eastAsia="zh-CN"/>
        </w:rPr>
      </w:pPr>
      <w:r>
        <w:rPr>
          <w:rFonts w:hint="default" w:ascii="仿宋_GB2312" w:hAnsi="宋体"/>
          <w:color w:val="auto"/>
          <w:sz w:val="32"/>
          <w:szCs w:val="32"/>
          <w:highlight w:val="none"/>
          <w:lang w:val="en-US" w:eastAsia="zh-CN"/>
        </w:rPr>
        <w:t>甘蔗封行后田间郁闭，人工与地面机械难以进入，推荐采用无人机进行作业，凭借其作业效率高、穿透力强的特点，能将药液均匀送达植株中下部，同时避免压断蔗茎，是实现中后期病虫高效防控的</w:t>
      </w:r>
      <w:r>
        <w:rPr>
          <w:rFonts w:hint="eastAsia" w:ascii="仿宋_GB2312" w:hAnsi="宋体"/>
          <w:color w:val="auto"/>
          <w:sz w:val="32"/>
          <w:szCs w:val="32"/>
          <w:highlight w:val="none"/>
          <w:lang w:val="en-US" w:eastAsia="zh-CN"/>
        </w:rPr>
        <w:t>不错</w:t>
      </w:r>
      <w:r>
        <w:rPr>
          <w:rFonts w:hint="default" w:ascii="仿宋_GB2312" w:hAnsi="宋体"/>
          <w:color w:val="auto"/>
          <w:sz w:val="32"/>
          <w:szCs w:val="32"/>
          <w:highlight w:val="none"/>
          <w:lang w:val="en-US" w:eastAsia="zh-CN"/>
        </w:rPr>
        <w:t>选择。</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7B3D0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24D4416E">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879725" cy="1863090"/>
                  <wp:effectExtent l="0" t="0" r="15875" b="381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18"/>
                          <a:stretch>
                            <a:fillRect/>
                          </a:stretch>
                        </pic:blipFill>
                        <pic:spPr>
                          <a:xfrm>
                            <a:off x="0" y="0"/>
                            <a:ext cx="2879725" cy="1863090"/>
                          </a:xfrm>
                          <a:prstGeom prst="rect">
                            <a:avLst/>
                          </a:prstGeom>
                          <a:noFill/>
                          <a:ln>
                            <a:noFill/>
                          </a:ln>
                        </pic:spPr>
                      </pic:pic>
                    </a:graphicData>
                  </a:graphic>
                </wp:inline>
              </w:drawing>
            </w:r>
          </w:p>
        </w:tc>
      </w:tr>
      <w:tr w14:paraId="6B782C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6A2B61C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仿宋_GB2312" w:hAnsi="宋体" w:eastAsia="仿宋_GB2312"/>
                <w:b/>
                <w:bCs/>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图10 无人机防治病虫害</w:t>
            </w:r>
          </w:p>
        </w:tc>
      </w:tr>
    </w:tbl>
    <w:p w14:paraId="39D40576">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highlight w:val="none"/>
          <w:lang w:val="en-US" w:eastAsia="zh-CN"/>
        </w:rPr>
      </w:pPr>
      <w:r>
        <w:rPr>
          <w:rFonts w:hint="eastAsia" w:ascii="仿宋_GB2312" w:hAnsi="宋体"/>
          <w:color w:val="auto"/>
          <w:sz w:val="32"/>
          <w:szCs w:val="32"/>
          <w:highlight w:val="none"/>
          <w:lang w:val="en-US" w:eastAsia="zh-CN"/>
        </w:rPr>
        <w:t>4.6机械剥叶</w:t>
      </w:r>
    </w:p>
    <w:p w14:paraId="5C7DAECA">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highlight w:val="none"/>
          <w:lang w:val="en-US" w:eastAsia="zh-CN"/>
        </w:rPr>
      </w:pPr>
      <w:r>
        <w:rPr>
          <w:rFonts w:hint="default" w:ascii="仿宋_GB2312" w:hAnsi="宋体"/>
          <w:color w:val="auto"/>
          <w:sz w:val="32"/>
          <w:szCs w:val="32"/>
          <w:highlight w:val="none"/>
          <w:lang w:val="en-US" w:eastAsia="zh-CN"/>
        </w:rPr>
        <w:t>8月下旬至收获前，利用窄轮拖拉机悬挂剥叶机在行间作业，能高效剥除枯老蔗叶，改善田间通风透光、减少病虫害</w:t>
      </w:r>
      <w:r>
        <w:rPr>
          <w:rFonts w:hint="eastAsia" w:ascii="仿宋_GB2312" w:hAnsi="宋体"/>
          <w:color w:val="auto"/>
          <w:sz w:val="32"/>
          <w:szCs w:val="32"/>
          <w:highlight w:val="none"/>
          <w:lang w:val="en-US" w:eastAsia="zh-CN"/>
        </w:rPr>
        <w:t>。</w:t>
      </w:r>
      <w:r>
        <w:rPr>
          <w:rFonts w:hint="default" w:ascii="仿宋_GB2312" w:hAnsi="宋体"/>
          <w:color w:val="auto"/>
          <w:sz w:val="32"/>
          <w:szCs w:val="32"/>
          <w:highlight w:val="none"/>
          <w:lang w:val="en-US" w:eastAsia="zh-CN"/>
        </w:rPr>
        <w:t>保留7-9片青叶</w:t>
      </w:r>
      <w:r>
        <w:rPr>
          <w:rFonts w:hint="eastAsia" w:ascii="仿宋_GB2312" w:hAnsi="宋体"/>
          <w:color w:val="auto"/>
          <w:sz w:val="32"/>
          <w:szCs w:val="32"/>
          <w:highlight w:val="none"/>
          <w:lang w:val="en-US" w:eastAsia="zh-CN"/>
        </w:rPr>
        <w:t>，</w:t>
      </w:r>
      <w:r>
        <w:rPr>
          <w:rFonts w:hint="default" w:ascii="仿宋_GB2312" w:hAnsi="宋体"/>
          <w:color w:val="auto"/>
          <w:sz w:val="32"/>
          <w:szCs w:val="32"/>
          <w:highlight w:val="none"/>
          <w:lang w:val="en-US" w:eastAsia="zh-CN"/>
        </w:rPr>
        <w:t>维持必要的光合作用，防止糖分下降，同时为机械化收获提前清除杂质，实现农艺与农机的融合。</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2E56B1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6393B8FA">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160270" cy="1511935"/>
                  <wp:effectExtent l="0" t="0" r="11430" b="12065"/>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19"/>
                          <a:stretch>
                            <a:fillRect/>
                          </a:stretch>
                        </pic:blipFill>
                        <pic:spPr>
                          <a:xfrm>
                            <a:off x="0" y="0"/>
                            <a:ext cx="2160270" cy="1511935"/>
                          </a:xfrm>
                          <a:prstGeom prst="rect">
                            <a:avLst/>
                          </a:prstGeom>
                          <a:noFill/>
                          <a:ln>
                            <a:noFill/>
                          </a:ln>
                        </pic:spPr>
                      </pic:pic>
                    </a:graphicData>
                  </a:graphic>
                </wp:inline>
              </w:drawing>
            </w:r>
          </w:p>
        </w:tc>
      </w:tr>
      <w:tr w14:paraId="3D509D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174" w:type="dxa"/>
          </w:tcPr>
          <w:p w14:paraId="70DD202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仿宋_GB2312" w:hAnsi="宋体" w:eastAsia="仿宋_GB2312"/>
                <w:b/>
                <w:bCs/>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图11 机械剥叶</w:t>
            </w:r>
          </w:p>
        </w:tc>
      </w:tr>
    </w:tbl>
    <w:p w14:paraId="3DBC9AC5">
      <w:pPr>
        <w:keepNext w:val="0"/>
        <w:keepLines w:val="0"/>
        <w:pageBreakBefore w:val="0"/>
        <w:numPr>
          <w:ilvl w:val="0"/>
          <w:numId w:val="0"/>
        </w:numPr>
        <w:kinsoku/>
        <w:overflowPunct/>
        <w:topLinePunct w:val="0"/>
        <w:bidi w:val="0"/>
        <w:snapToGrid/>
        <w:ind w:left="0" w:leftChars="0" w:firstLine="643" w:firstLineChars="200"/>
        <w:textAlignment w:val="auto"/>
        <w:rPr>
          <w:rFonts w:hint="default" w:ascii="仿宋_GB2312" w:hAnsi="宋体" w:cs="Times New Roman"/>
          <w:b/>
          <w:color w:val="auto"/>
          <w:kern w:val="2"/>
          <w:sz w:val="32"/>
          <w:szCs w:val="32"/>
          <w:highlight w:val="none"/>
          <w:lang w:val="en-US" w:eastAsia="zh-CN" w:bidi="ar-SA"/>
        </w:rPr>
      </w:pPr>
      <w:r>
        <w:rPr>
          <w:rFonts w:hint="eastAsia" w:ascii="仿宋_GB2312" w:hAnsi="宋体" w:eastAsia="仿宋_GB2312" w:cs="Times New Roman"/>
          <w:b/>
          <w:color w:val="auto"/>
          <w:kern w:val="2"/>
          <w:sz w:val="32"/>
          <w:szCs w:val="32"/>
          <w:lang w:val="en-US" w:eastAsia="zh-CN" w:bidi="ar-SA"/>
        </w:rPr>
        <w:t>（</w:t>
      </w:r>
      <w:r>
        <w:rPr>
          <w:rFonts w:hint="eastAsia" w:ascii="仿宋_GB2312" w:hAnsi="宋体" w:cs="Times New Roman"/>
          <w:b/>
          <w:color w:val="auto"/>
          <w:kern w:val="2"/>
          <w:sz w:val="32"/>
          <w:szCs w:val="32"/>
          <w:lang w:val="en-US" w:eastAsia="zh-CN" w:bidi="ar-SA"/>
        </w:rPr>
        <w:t>五</w:t>
      </w:r>
      <w:r>
        <w:rPr>
          <w:rFonts w:hint="eastAsia" w:ascii="仿宋_GB2312" w:hAnsi="宋体" w:eastAsia="仿宋_GB2312" w:cs="Times New Roman"/>
          <w:b/>
          <w:color w:val="auto"/>
          <w:kern w:val="2"/>
          <w:sz w:val="32"/>
          <w:szCs w:val="32"/>
          <w:lang w:val="en-US" w:eastAsia="zh-CN" w:bidi="ar-SA"/>
        </w:rPr>
        <w:t>）</w:t>
      </w:r>
      <w:r>
        <w:rPr>
          <w:rFonts w:hint="eastAsia" w:ascii="仿宋_GB2312" w:hAnsi="宋体" w:cs="Times New Roman"/>
          <w:b/>
          <w:color w:val="auto"/>
          <w:kern w:val="2"/>
          <w:sz w:val="32"/>
          <w:szCs w:val="32"/>
          <w:lang w:val="en-US" w:eastAsia="zh-CN" w:bidi="ar-SA"/>
        </w:rPr>
        <w:t>联合收获</w:t>
      </w:r>
    </w:p>
    <w:p w14:paraId="521B2774">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highlight w:val="none"/>
          <w:lang w:val="zh-CN"/>
        </w:rPr>
      </w:pPr>
      <w:r>
        <w:rPr>
          <w:rFonts w:hint="eastAsia" w:ascii="仿宋_GB2312" w:hAnsi="宋体" w:eastAsia="仿宋_GB2312"/>
          <w:color w:val="auto"/>
          <w:sz w:val="32"/>
          <w:szCs w:val="32"/>
          <w:highlight w:val="none"/>
          <w:lang w:val="zh-CN"/>
        </w:rPr>
        <w:t>切段式收获是目前糖料蔗规模化种植的主流模式，能够实现收割、切段、清选一次性完成，效率极高</w:t>
      </w:r>
      <w:r>
        <w:rPr>
          <w:rFonts w:hint="eastAsia" w:ascii="仿宋_GB2312" w:hAnsi="宋体"/>
          <w:color w:val="auto"/>
          <w:sz w:val="32"/>
          <w:szCs w:val="32"/>
          <w:highlight w:val="none"/>
          <w:lang w:val="zh-CN"/>
        </w:rPr>
        <w:t>。</w:t>
      </w:r>
      <w:r>
        <w:rPr>
          <w:rFonts w:hint="eastAsia" w:ascii="仿宋_GB2312" w:hAnsi="宋体" w:eastAsia="仿宋_GB2312"/>
          <w:color w:val="auto"/>
          <w:sz w:val="32"/>
          <w:szCs w:val="32"/>
          <w:highlight w:val="none"/>
          <w:lang w:val="zh-CN"/>
        </w:rPr>
        <w:t>配套转运机可实现“收割-转运”无缝衔接，减少收获机卸料停机时间，充分发挥大机型效率</w:t>
      </w:r>
      <w:r>
        <w:rPr>
          <w:rFonts w:hint="eastAsia" w:ascii="仿宋_GB2312" w:hAnsi="宋体"/>
          <w:color w:val="auto"/>
          <w:sz w:val="32"/>
          <w:szCs w:val="32"/>
          <w:highlight w:val="none"/>
          <w:lang w:val="zh-CN"/>
        </w:rPr>
        <w:t>。</w:t>
      </w:r>
    </w:p>
    <w:p w14:paraId="26851E2E">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highlight w:val="none"/>
          <w:lang w:val="zh-CN"/>
        </w:rPr>
      </w:pPr>
      <w:r>
        <w:rPr>
          <w:rFonts w:hint="eastAsia" w:ascii="仿宋_GB2312" w:hAnsi="宋体" w:eastAsia="仿宋_GB2312"/>
          <w:color w:val="auto"/>
          <w:sz w:val="32"/>
          <w:szCs w:val="32"/>
          <w:highlight w:val="none"/>
          <w:lang w:val="zh-CN"/>
        </w:rPr>
        <w:t>早熟品种、秋植蔗、宿根蔗</w:t>
      </w:r>
      <w:r>
        <w:rPr>
          <w:rFonts w:hint="eastAsia" w:ascii="仿宋_GB2312" w:hAnsi="宋体"/>
          <w:color w:val="auto"/>
          <w:sz w:val="32"/>
          <w:szCs w:val="32"/>
          <w:highlight w:val="none"/>
          <w:lang w:val="en-US" w:eastAsia="zh-CN"/>
        </w:rPr>
        <w:t>的</w:t>
      </w:r>
      <w:r>
        <w:rPr>
          <w:rFonts w:hint="eastAsia" w:ascii="仿宋_GB2312" w:hAnsi="宋体" w:eastAsia="仿宋_GB2312"/>
          <w:color w:val="auto"/>
          <w:sz w:val="32"/>
          <w:szCs w:val="32"/>
          <w:highlight w:val="none"/>
          <w:lang w:val="zh-CN"/>
        </w:rPr>
        <w:t>蔗糖分积累早、成熟快，优先收获能保证糖厂早期的开榨糖分</w:t>
      </w:r>
      <w:r>
        <w:rPr>
          <w:rFonts w:hint="eastAsia" w:ascii="仿宋_GB2312" w:hAnsi="宋体"/>
          <w:color w:val="auto"/>
          <w:sz w:val="32"/>
          <w:szCs w:val="32"/>
          <w:highlight w:val="none"/>
          <w:lang w:val="zh-CN"/>
        </w:rPr>
        <w:t>，</w:t>
      </w:r>
      <w:r>
        <w:rPr>
          <w:rFonts w:hint="eastAsia" w:ascii="仿宋_GB2312" w:hAnsi="宋体" w:eastAsia="仿宋_GB2312"/>
          <w:color w:val="auto"/>
          <w:sz w:val="32"/>
          <w:szCs w:val="32"/>
          <w:highlight w:val="none"/>
          <w:lang w:val="zh-CN"/>
        </w:rPr>
        <w:t>于1月中旬此时气温</w:t>
      </w:r>
      <w:r>
        <w:rPr>
          <w:rFonts w:hint="eastAsia" w:ascii="仿宋_GB2312" w:hAnsi="宋体"/>
          <w:color w:val="auto"/>
          <w:sz w:val="32"/>
          <w:szCs w:val="32"/>
          <w:highlight w:val="none"/>
          <w:lang w:val="en-US" w:eastAsia="zh-CN"/>
        </w:rPr>
        <w:t>一般</w:t>
      </w:r>
      <w:r>
        <w:rPr>
          <w:rFonts w:hint="eastAsia" w:ascii="仿宋_GB2312" w:hAnsi="宋体" w:eastAsia="仿宋_GB2312"/>
          <w:color w:val="auto"/>
          <w:sz w:val="32"/>
          <w:szCs w:val="32"/>
          <w:highlight w:val="none"/>
          <w:lang w:val="zh-CN"/>
        </w:rPr>
        <w:t>较低</w:t>
      </w:r>
      <w:r>
        <w:rPr>
          <w:rFonts w:hint="eastAsia" w:ascii="仿宋_GB2312" w:hAnsi="宋体"/>
          <w:color w:val="auto"/>
          <w:sz w:val="32"/>
          <w:szCs w:val="32"/>
          <w:highlight w:val="none"/>
          <w:lang w:val="zh-CN"/>
        </w:rPr>
        <w:t>，</w:t>
      </w:r>
      <w:r>
        <w:rPr>
          <w:rFonts w:hint="eastAsia" w:ascii="仿宋_GB2312" w:hAnsi="宋体" w:eastAsia="仿宋_GB2312"/>
          <w:color w:val="auto"/>
          <w:sz w:val="32"/>
          <w:szCs w:val="32"/>
          <w:highlight w:val="none"/>
          <w:lang w:val="zh-CN"/>
        </w:rPr>
        <w:t>甘蔗生理活动减弱</w:t>
      </w:r>
      <w:r>
        <w:rPr>
          <w:rFonts w:hint="eastAsia" w:ascii="仿宋_GB2312" w:hAnsi="宋体"/>
          <w:color w:val="auto"/>
          <w:sz w:val="32"/>
          <w:szCs w:val="32"/>
          <w:highlight w:val="none"/>
          <w:lang w:val="zh-CN"/>
        </w:rPr>
        <w:t>，</w:t>
      </w:r>
      <w:r>
        <w:rPr>
          <w:rFonts w:hint="eastAsia" w:ascii="仿宋_GB2312" w:hAnsi="宋体" w:eastAsia="仿宋_GB2312"/>
          <w:color w:val="auto"/>
          <w:sz w:val="32"/>
          <w:szCs w:val="32"/>
          <w:highlight w:val="none"/>
          <w:lang w:val="zh-CN"/>
        </w:rPr>
        <w:t>留宿根的蔗地</w:t>
      </w:r>
      <w:r>
        <w:rPr>
          <w:rFonts w:hint="eastAsia" w:ascii="仿宋_GB2312" w:hAnsi="宋体"/>
          <w:color w:val="auto"/>
          <w:sz w:val="32"/>
          <w:szCs w:val="32"/>
          <w:highlight w:val="none"/>
          <w:lang w:val="en-US" w:eastAsia="zh-CN"/>
        </w:rPr>
        <w:t>此时</w:t>
      </w:r>
      <w:r>
        <w:rPr>
          <w:rFonts w:hint="eastAsia" w:ascii="仿宋_GB2312" w:hAnsi="宋体" w:eastAsia="仿宋_GB2312"/>
          <w:color w:val="auto"/>
          <w:sz w:val="32"/>
          <w:szCs w:val="32"/>
          <w:highlight w:val="none"/>
          <w:lang w:val="zh-CN"/>
        </w:rPr>
        <w:t>收获有利于保存养分、避免冬季低温高湿导致烂芽</w:t>
      </w:r>
      <w:r>
        <w:rPr>
          <w:rFonts w:hint="eastAsia" w:ascii="仿宋_GB2312" w:hAnsi="宋体"/>
          <w:color w:val="auto"/>
          <w:sz w:val="32"/>
          <w:szCs w:val="32"/>
          <w:highlight w:val="none"/>
          <w:lang w:val="zh-CN"/>
        </w:rPr>
        <w:t>。</w:t>
      </w:r>
      <w:r>
        <w:rPr>
          <w:rFonts w:hint="eastAsia" w:ascii="仿宋_GB2312" w:hAnsi="宋体" w:eastAsia="仿宋_GB2312"/>
          <w:color w:val="auto"/>
          <w:sz w:val="32"/>
          <w:szCs w:val="32"/>
          <w:highlight w:val="none"/>
          <w:lang w:val="zh-CN"/>
        </w:rPr>
        <w:t>收获后24小时内入榨，</w:t>
      </w:r>
      <w:r>
        <w:rPr>
          <w:rFonts w:hint="eastAsia" w:ascii="仿宋_GB2312" w:hAnsi="宋体"/>
          <w:color w:val="auto"/>
          <w:sz w:val="32"/>
          <w:szCs w:val="32"/>
          <w:highlight w:val="none"/>
          <w:lang w:val="en-US" w:eastAsia="zh-CN"/>
        </w:rPr>
        <w:t>尽量</w:t>
      </w:r>
      <w:r>
        <w:rPr>
          <w:rFonts w:hint="eastAsia" w:ascii="仿宋_GB2312" w:hAnsi="宋体" w:eastAsia="仿宋_GB2312"/>
          <w:color w:val="auto"/>
          <w:sz w:val="32"/>
          <w:szCs w:val="32"/>
          <w:highlight w:val="none"/>
          <w:lang w:val="zh-CN"/>
        </w:rPr>
        <w:t>减少糖分转化损耗，保证出糖率和蔗糖品质。</w:t>
      </w:r>
      <w:r>
        <w:rPr>
          <w:rFonts w:hint="eastAsia" w:ascii="仿宋_GB2312" w:hAnsi="宋体"/>
          <w:color w:val="auto"/>
          <w:sz w:val="32"/>
          <w:szCs w:val="32"/>
          <w:highlight w:val="none"/>
          <w:lang w:val="en-US" w:eastAsia="zh-CN"/>
        </w:rPr>
        <w:t>过程也参照</w:t>
      </w:r>
      <w:r>
        <w:rPr>
          <w:rFonts w:hint="eastAsia" w:ascii="仿宋_GB2312" w:hAnsi="宋体" w:eastAsia="仿宋_GB2312"/>
          <w:color w:val="auto"/>
          <w:sz w:val="32"/>
          <w:szCs w:val="32"/>
          <w:highlight w:val="none"/>
          <w:lang w:val="zh-CN"/>
        </w:rPr>
        <w:t>NY/T 2991和NY/T 3889</w:t>
      </w:r>
      <w:r>
        <w:rPr>
          <w:rFonts w:hint="eastAsia" w:ascii="仿宋_GB2312" w:hAnsi="宋体"/>
          <w:color w:val="auto"/>
          <w:sz w:val="32"/>
          <w:szCs w:val="32"/>
          <w:highlight w:val="none"/>
          <w:lang w:val="en-US" w:eastAsia="zh-CN"/>
        </w:rPr>
        <w:t>中联合收获的要求</w:t>
      </w:r>
      <w:r>
        <w:rPr>
          <w:rFonts w:hint="eastAsia" w:ascii="仿宋_GB2312" w:hAnsi="宋体" w:eastAsia="仿宋_GB2312"/>
          <w:color w:val="auto"/>
          <w:sz w:val="32"/>
          <w:szCs w:val="32"/>
          <w:highlight w:val="none"/>
          <w:lang w:val="zh-CN"/>
        </w:rPr>
        <w:t>，避免因操作不当造成减产或影响宿根发株</w:t>
      </w:r>
      <w:r>
        <w:rPr>
          <w:rFonts w:hint="eastAsia" w:ascii="仿宋_GB2312" w:hAnsi="宋体"/>
          <w:color w:val="auto"/>
          <w:sz w:val="32"/>
          <w:szCs w:val="32"/>
          <w:highlight w:val="none"/>
          <w:lang w:val="zh-CN"/>
        </w:rPr>
        <w:t>。</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1729B6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469BE719">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879725" cy="1744345"/>
                  <wp:effectExtent l="0" t="0" r="15875" b="8255"/>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20"/>
                          <a:stretch>
                            <a:fillRect/>
                          </a:stretch>
                        </pic:blipFill>
                        <pic:spPr>
                          <a:xfrm>
                            <a:off x="0" y="0"/>
                            <a:ext cx="2879725" cy="1744345"/>
                          </a:xfrm>
                          <a:prstGeom prst="rect">
                            <a:avLst/>
                          </a:prstGeom>
                          <a:noFill/>
                          <a:ln>
                            <a:noFill/>
                          </a:ln>
                        </pic:spPr>
                      </pic:pic>
                    </a:graphicData>
                  </a:graphic>
                </wp:inline>
              </w:drawing>
            </w:r>
          </w:p>
        </w:tc>
      </w:tr>
      <w:tr w14:paraId="746801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052A5DF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仿宋_GB2312" w:hAnsi="宋体" w:eastAsia="仿宋_GB2312"/>
                <w:b/>
                <w:bCs/>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图12 机械收获</w:t>
            </w:r>
          </w:p>
        </w:tc>
      </w:tr>
    </w:tbl>
    <w:p w14:paraId="2DFD1795">
      <w:pPr>
        <w:keepNext w:val="0"/>
        <w:keepLines w:val="0"/>
        <w:pageBreakBefore w:val="0"/>
        <w:numPr>
          <w:ilvl w:val="0"/>
          <w:numId w:val="0"/>
        </w:numPr>
        <w:kinsoku/>
        <w:overflowPunct/>
        <w:topLinePunct w:val="0"/>
        <w:bidi w:val="0"/>
        <w:snapToGrid/>
        <w:ind w:left="0" w:leftChars="0" w:firstLine="643" w:firstLineChars="200"/>
        <w:textAlignment w:val="auto"/>
        <w:rPr>
          <w:rFonts w:hint="default" w:ascii="仿宋_GB2312" w:hAnsi="宋体" w:cs="Times New Roman"/>
          <w:b/>
          <w:color w:val="auto"/>
          <w:kern w:val="2"/>
          <w:sz w:val="32"/>
          <w:szCs w:val="32"/>
          <w:highlight w:val="none"/>
          <w:lang w:val="en-US" w:eastAsia="zh-CN" w:bidi="ar-SA"/>
        </w:rPr>
      </w:pPr>
      <w:r>
        <w:rPr>
          <w:rFonts w:hint="eastAsia" w:ascii="仿宋_GB2312" w:hAnsi="宋体" w:eastAsia="仿宋_GB2312" w:cs="Times New Roman"/>
          <w:b/>
          <w:color w:val="auto"/>
          <w:kern w:val="2"/>
          <w:sz w:val="32"/>
          <w:szCs w:val="32"/>
          <w:lang w:val="en-US" w:eastAsia="zh-CN" w:bidi="ar-SA"/>
        </w:rPr>
        <w:t>（</w:t>
      </w:r>
      <w:r>
        <w:rPr>
          <w:rFonts w:hint="eastAsia" w:ascii="仿宋_GB2312" w:hAnsi="宋体" w:cs="Times New Roman"/>
          <w:b/>
          <w:color w:val="auto"/>
          <w:kern w:val="2"/>
          <w:sz w:val="32"/>
          <w:szCs w:val="32"/>
          <w:lang w:val="en-US" w:eastAsia="zh-CN" w:bidi="ar-SA"/>
        </w:rPr>
        <w:t>六</w:t>
      </w:r>
      <w:r>
        <w:rPr>
          <w:rFonts w:hint="eastAsia" w:ascii="仿宋_GB2312" w:hAnsi="宋体" w:eastAsia="仿宋_GB2312" w:cs="Times New Roman"/>
          <w:b/>
          <w:color w:val="auto"/>
          <w:kern w:val="2"/>
          <w:sz w:val="32"/>
          <w:szCs w:val="32"/>
          <w:lang w:val="en-US" w:eastAsia="zh-CN" w:bidi="ar-SA"/>
        </w:rPr>
        <w:t>）</w:t>
      </w:r>
      <w:r>
        <w:rPr>
          <w:rFonts w:hint="eastAsia" w:ascii="仿宋_GB2312" w:hAnsi="宋体" w:cs="Times New Roman"/>
          <w:b/>
          <w:color w:val="auto"/>
          <w:kern w:val="2"/>
          <w:sz w:val="32"/>
          <w:szCs w:val="32"/>
          <w:lang w:val="en-US" w:eastAsia="zh-CN" w:bidi="ar-SA"/>
        </w:rPr>
        <w:t>宿根管理</w:t>
      </w:r>
    </w:p>
    <w:p w14:paraId="2977B3AD">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highlight w:val="none"/>
          <w:lang w:val="zh-CN"/>
        </w:rPr>
      </w:pPr>
      <w:r>
        <w:rPr>
          <w:rFonts w:hint="eastAsia" w:ascii="仿宋_GB2312" w:hAnsi="宋体" w:eastAsia="仿宋_GB2312"/>
          <w:color w:val="auto"/>
          <w:sz w:val="32"/>
          <w:szCs w:val="32"/>
          <w:highlight w:val="none"/>
          <w:lang w:val="zh-CN"/>
        </w:rPr>
        <w:t>收获后10-15天是宿根蔗管理的关键窗口，此时土壤墒情适宜、宿根芽尚未萌发</w:t>
      </w:r>
      <w:r>
        <w:rPr>
          <w:rFonts w:hint="eastAsia" w:ascii="仿宋_GB2312" w:hAnsi="宋体"/>
          <w:color w:val="auto"/>
          <w:sz w:val="32"/>
          <w:szCs w:val="32"/>
          <w:highlight w:val="none"/>
          <w:lang w:val="zh-CN"/>
        </w:rPr>
        <w:t>。</w:t>
      </w:r>
      <w:r>
        <w:rPr>
          <w:rFonts w:hint="eastAsia" w:ascii="仿宋_GB2312" w:hAnsi="宋体"/>
          <w:color w:val="auto"/>
          <w:sz w:val="32"/>
          <w:szCs w:val="32"/>
          <w:highlight w:val="none"/>
          <w:lang w:val="en-US" w:eastAsia="zh-CN"/>
        </w:rPr>
        <w:t>主要根据广西农业科学院专利技术《一种宿根蔗机械平茬破垄深松蔸的管理方法，CN 113424751 A》，</w:t>
      </w:r>
      <w:r>
        <w:rPr>
          <w:rFonts w:hint="eastAsia" w:ascii="仿宋_GB2312" w:hAnsi="宋体" w:eastAsia="仿宋_GB2312"/>
          <w:color w:val="auto"/>
          <w:sz w:val="32"/>
          <w:szCs w:val="32"/>
          <w:highlight w:val="none"/>
          <w:lang w:val="zh-CN"/>
        </w:rPr>
        <w:t>采用拖拉机悬挂一体机，并利用卫星导航，可实现平茬、破垄松蔸、施肥</w:t>
      </w:r>
      <w:r>
        <w:rPr>
          <w:rFonts w:hint="eastAsia" w:ascii="仿宋_GB2312" w:hAnsi="宋体"/>
          <w:color w:val="auto"/>
          <w:sz w:val="32"/>
          <w:szCs w:val="32"/>
          <w:highlight w:val="none"/>
          <w:lang w:val="en-US" w:eastAsia="zh-CN"/>
        </w:rPr>
        <w:t>作业</w:t>
      </w:r>
      <w:r>
        <w:rPr>
          <w:rFonts w:hint="eastAsia" w:ascii="仿宋_GB2312" w:hAnsi="宋体" w:eastAsia="仿宋_GB2312"/>
          <w:color w:val="auto"/>
          <w:sz w:val="32"/>
          <w:szCs w:val="32"/>
          <w:highlight w:val="none"/>
          <w:lang w:val="zh-CN"/>
        </w:rPr>
        <w:t>一次完成，极大提高效率且避免重复碾压。</w:t>
      </w:r>
    </w:p>
    <w:p w14:paraId="5562B919">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highlight w:val="none"/>
          <w:lang w:val="zh-CN"/>
        </w:rPr>
      </w:pPr>
      <w:r>
        <w:rPr>
          <w:rFonts w:hint="eastAsia" w:ascii="仿宋_GB2312" w:hAnsi="宋体" w:eastAsia="仿宋_GB2312"/>
          <w:color w:val="auto"/>
          <w:sz w:val="32"/>
          <w:szCs w:val="32"/>
          <w:highlight w:val="none"/>
          <w:lang w:val="zh-CN"/>
        </w:rPr>
        <w:t>平茬入土5-8cm切除高位芽，破除顶端优势，刺激低位芽萌发，使新苗更健壮</w:t>
      </w:r>
      <w:r>
        <w:rPr>
          <w:rFonts w:hint="eastAsia" w:ascii="仿宋_GB2312" w:hAnsi="宋体"/>
          <w:color w:val="auto"/>
          <w:sz w:val="32"/>
          <w:szCs w:val="32"/>
          <w:highlight w:val="none"/>
          <w:lang w:val="en-US" w:eastAsia="zh-CN"/>
        </w:rPr>
        <w:t>。</w:t>
      </w:r>
      <w:r>
        <w:rPr>
          <w:rFonts w:hint="eastAsia" w:ascii="仿宋_GB2312" w:hAnsi="宋体" w:eastAsia="仿宋_GB2312"/>
          <w:color w:val="auto"/>
          <w:sz w:val="32"/>
          <w:szCs w:val="32"/>
          <w:highlight w:val="none"/>
          <w:lang w:val="zh-CN"/>
        </w:rPr>
        <w:t>破垄深30-40cm打破宿根蔗头周围板结的土壤，促进新根深扎</w:t>
      </w:r>
      <w:r>
        <w:rPr>
          <w:rFonts w:hint="eastAsia" w:ascii="仿宋_GB2312" w:hAnsi="宋体"/>
          <w:color w:val="auto"/>
          <w:sz w:val="32"/>
          <w:szCs w:val="32"/>
          <w:highlight w:val="none"/>
          <w:lang w:val="zh-CN"/>
        </w:rPr>
        <w:t>。</w:t>
      </w:r>
      <w:r>
        <w:rPr>
          <w:rFonts w:hint="eastAsia" w:ascii="仿宋_GB2312" w:hAnsi="宋体" w:eastAsia="仿宋_GB2312"/>
          <w:color w:val="auto"/>
          <w:sz w:val="32"/>
          <w:szCs w:val="32"/>
          <w:highlight w:val="none"/>
          <w:lang w:val="zh-CN"/>
        </w:rPr>
        <w:t>施肥量按新植蔗基肥110%-120%，因宿根蔗发株早、需肥急，且前季消耗了部分地力，适当增肥以保证壮苗。</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7FEEA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02A3BF5E">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879725" cy="2372995"/>
                  <wp:effectExtent l="0" t="0" r="15875" b="825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21"/>
                          <a:stretch>
                            <a:fillRect/>
                          </a:stretch>
                        </pic:blipFill>
                        <pic:spPr>
                          <a:xfrm>
                            <a:off x="0" y="0"/>
                            <a:ext cx="2879725" cy="2372995"/>
                          </a:xfrm>
                          <a:prstGeom prst="rect">
                            <a:avLst/>
                          </a:prstGeom>
                          <a:noFill/>
                          <a:ln>
                            <a:noFill/>
                          </a:ln>
                        </pic:spPr>
                      </pic:pic>
                    </a:graphicData>
                  </a:graphic>
                </wp:inline>
              </w:drawing>
            </w:r>
          </w:p>
        </w:tc>
      </w:tr>
      <w:tr w14:paraId="56DA74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11E623F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仿宋_GB2312" w:hAnsi="宋体" w:eastAsia="仿宋_GB2312"/>
                <w:b/>
                <w:bCs/>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图13 宿根蔗平茬破垄深松苑水肥一体管理机的结构示意图</w:t>
            </w:r>
          </w:p>
        </w:tc>
      </w:tr>
    </w:tbl>
    <w:p w14:paraId="545363DE">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highlight w:val="none"/>
          <w:lang w:val="zh-CN"/>
        </w:rPr>
      </w:pPr>
      <w:r>
        <w:rPr>
          <w:rFonts w:hint="eastAsia" w:ascii="仿宋_GB2312" w:hAnsi="宋体" w:eastAsia="仿宋_GB2312"/>
          <w:color w:val="auto"/>
          <w:sz w:val="32"/>
          <w:szCs w:val="32"/>
          <w:highlight w:val="none"/>
          <w:lang w:val="zh-CN"/>
        </w:rPr>
        <w:t>宿根蔗的出苗和生长进程比新植蔗提前15-20天（因地下蔗头已有完整根系），因此所有田间管理（大培土、攻茎肥、病虫害防治等）相应提前，才能跟上其生育节律，确保宿根蔗同样实现高产高糖。</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64BCF0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174" w:type="dxa"/>
          </w:tcPr>
          <w:p w14:paraId="4D276EA1">
            <w:pPr>
              <w:keepNext w:val="0"/>
              <w:keepLines w:val="0"/>
              <w:pageBreakBefore w:val="0"/>
              <w:suppressLineNumbers w:val="0"/>
              <w:kinsoku/>
              <w:overflowPunct/>
              <w:topLinePunct w:val="0"/>
              <w:bidi w:val="0"/>
              <w:snapToGrid/>
              <w:spacing w:before="0" w:beforeAutospacing="0" w:after="0" w:afterAutospacing="0"/>
              <w:ind w:left="0" w:leftChars="0" w:right="0" w:firstLine="0" w:firstLineChars="0"/>
              <w:jc w:val="center"/>
              <w:textAlignment w:val="auto"/>
              <w:rPr>
                <w:rFonts w:hint="eastAsia" w:ascii="仿宋_GB2312" w:hAnsi="宋体" w:eastAsia="仿宋_GB2312"/>
                <w:color w:val="auto"/>
                <w:sz w:val="32"/>
                <w:szCs w:val="32"/>
                <w:highlight w:val="none"/>
                <w:vertAlign w:val="baseline"/>
                <w:lang w:val="zh-CN"/>
              </w:rPr>
            </w:pPr>
            <w:r>
              <w:rPr>
                <w:rFonts w:hint="default"/>
              </w:rPr>
              <w:drawing>
                <wp:inline distT="0" distB="0" distL="114300" distR="114300">
                  <wp:extent cx="2879725" cy="1793875"/>
                  <wp:effectExtent l="0" t="0" r="15875" b="15875"/>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22"/>
                          <a:stretch>
                            <a:fillRect/>
                          </a:stretch>
                        </pic:blipFill>
                        <pic:spPr>
                          <a:xfrm>
                            <a:off x="0" y="0"/>
                            <a:ext cx="2879725" cy="1793875"/>
                          </a:xfrm>
                          <a:prstGeom prst="rect">
                            <a:avLst/>
                          </a:prstGeom>
                          <a:noFill/>
                          <a:ln>
                            <a:noFill/>
                          </a:ln>
                        </pic:spPr>
                      </pic:pic>
                    </a:graphicData>
                  </a:graphic>
                </wp:inline>
              </w:drawing>
            </w:r>
          </w:p>
        </w:tc>
      </w:tr>
      <w:tr w14:paraId="19903E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36B1B23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ind w:left="0" w:right="0"/>
              <w:jc w:val="center"/>
              <w:textAlignment w:val="auto"/>
              <w:rPr>
                <w:rFonts w:hint="default" w:ascii="仿宋_GB2312" w:hAnsi="宋体" w:eastAsia="仿宋_GB2312"/>
                <w:b/>
                <w:bCs/>
                <w:color w:val="auto"/>
                <w:sz w:val="32"/>
                <w:szCs w:val="32"/>
                <w:highlight w:val="none"/>
                <w:vertAlign w:val="baseline"/>
                <w:lang w:val="en-US"/>
              </w:rPr>
            </w:pPr>
            <w:r>
              <w:rPr>
                <w:rFonts w:hint="eastAsia" w:ascii="Segoe UI" w:hAnsi="Segoe UI" w:eastAsia="宋体" w:cs="Segoe UI"/>
                <w:i w:val="0"/>
                <w:iCs w:val="0"/>
                <w:caps w:val="0"/>
                <w:color w:val="0F1115"/>
                <w:spacing w:val="0"/>
                <w:sz w:val="24"/>
                <w:szCs w:val="24"/>
                <w:shd w:val="clear" w:fill="FFFFFF"/>
                <w:lang w:val="en-US" w:eastAsia="zh-CN"/>
              </w:rPr>
              <w:t>图14 宿根蔗平茬破垄施肥</w:t>
            </w:r>
          </w:p>
        </w:tc>
      </w:tr>
    </w:tbl>
    <w:p w14:paraId="412D30FF">
      <w:pPr>
        <w:keepNext w:val="0"/>
        <w:keepLines w:val="0"/>
        <w:pageBreakBefore w:val="0"/>
        <w:kinsoku/>
        <w:overflowPunct/>
        <w:topLinePunct w:val="0"/>
        <w:autoSpaceDE w:val="0"/>
        <w:autoSpaceDN w:val="0"/>
        <w:bidi w:val="0"/>
        <w:adjustRightInd w:val="0"/>
        <w:snapToGrid/>
        <w:spacing w:line="560" w:lineRule="exact"/>
        <w:ind w:firstLine="643" w:firstLineChars="200"/>
        <w:jc w:val="left"/>
        <w:textAlignment w:val="auto"/>
        <w:rPr>
          <w:rFonts w:hint="eastAsia" w:ascii="仿宋_GB2312" w:hAnsi="仿宋_GB2312" w:eastAsia="仿宋_GB2312" w:cs="仿宋_GB2312"/>
          <w:b/>
          <w:bCs/>
          <w:color w:val="auto"/>
          <w:sz w:val="32"/>
          <w:szCs w:val="32"/>
          <w:highlight w:val="none"/>
        </w:rPr>
      </w:pPr>
      <w:bookmarkStart w:id="2" w:name="_Toc526940086"/>
      <w:r>
        <w:rPr>
          <w:rFonts w:hint="eastAsia" w:ascii="仿宋_GB2312" w:hAnsi="仿宋_GB2312" w:eastAsia="仿宋_GB2312" w:cs="仿宋_GB2312"/>
          <w:b/>
          <w:bCs/>
          <w:color w:val="auto"/>
          <w:sz w:val="32"/>
          <w:szCs w:val="32"/>
          <w:highlight w:val="none"/>
        </w:rPr>
        <w:t>六、</w:t>
      </w:r>
      <w:bookmarkEnd w:id="2"/>
      <w:r>
        <w:rPr>
          <w:rFonts w:hint="eastAsia" w:ascii="仿宋_GB2312" w:hAnsi="仿宋_GB2312" w:eastAsia="仿宋_GB2312" w:cs="仿宋_GB2312"/>
          <w:b/>
          <w:bCs/>
          <w:color w:val="auto"/>
          <w:sz w:val="32"/>
          <w:szCs w:val="32"/>
          <w:highlight w:val="none"/>
        </w:rPr>
        <w:t>重大分歧意见的处理经过和依据</w:t>
      </w:r>
    </w:p>
    <w:p w14:paraId="7DBD7D8D">
      <w:pPr>
        <w:keepNext w:val="0"/>
        <w:keepLines w:val="0"/>
        <w:pageBreakBefore w:val="0"/>
        <w:kinsoku/>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本标准研制过程中无重大分歧意见。</w:t>
      </w:r>
    </w:p>
    <w:p w14:paraId="69867F09">
      <w:pPr>
        <w:keepNext w:val="0"/>
        <w:keepLines w:val="0"/>
        <w:pageBreakBefore w:val="0"/>
        <w:kinsoku/>
        <w:overflowPunct/>
        <w:topLinePunct w:val="0"/>
        <w:autoSpaceDE w:val="0"/>
        <w:autoSpaceDN w:val="0"/>
        <w:bidi w:val="0"/>
        <w:adjustRightInd w:val="0"/>
        <w:snapToGrid/>
        <w:spacing w:line="560" w:lineRule="exact"/>
        <w:ind w:firstLine="643" w:firstLineChars="200"/>
        <w:jc w:val="left"/>
        <w:textAlignment w:val="auto"/>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七、实施标准的措施</w:t>
      </w:r>
    </w:p>
    <w:p w14:paraId="67C45D00">
      <w:pPr>
        <w:keepNext w:val="0"/>
        <w:keepLines w:val="0"/>
        <w:pageBreakBefore w:val="0"/>
        <w:kinsoku/>
        <w:overflowPunct/>
        <w:topLinePunct w:val="0"/>
        <w:bidi w:val="0"/>
        <w:snapToGrid/>
        <w:spacing w:line="560" w:lineRule="exact"/>
        <w:ind w:firstLine="643" w:firstLineChars="200"/>
        <w:textAlignment w:val="auto"/>
        <w:rPr>
          <w:rFonts w:hint="eastAsia" w:ascii="仿宋_GB2312" w:hAnsi="仿宋_GB2312" w:eastAsia="仿宋_GB2312" w:cs="仿宋_GB2312"/>
          <w:b/>
          <w:color w:val="auto"/>
          <w:sz w:val="32"/>
          <w:szCs w:val="28"/>
          <w:highlight w:val="none"/>
        </w:rPr>
      </w:pPr>
      <w:r>
        <w:rPr>
          <w:rFonts w:hint="eastAsia" w:ascii="仿宋_GB2312" w:hAnsi="仿宋_GB2312" w:eastAsia="仿宋_GB2312" w:cs="仿宋_GB2312"/>
          <w:b/>
          <w:color w:val="auto"/>
          <w:sz w:val="32"/>
          <w:szCs w:val="28"/>
          <w:highlight w:val="none"/>
        </w:rPr>
        <w:t>（一）标准报批发布后，成立标准宣贯工作组</w:t>
      </w:r>
    </w:p>
    <w:p w14:paraId="7330B5F1">
      <w:pPr>
        <w:keepNext w:val="0"/>
        <w:keepLines w:val="0"/>
        <w:pageBreakBefore w:val="0"/>
        <w:kinsoku/>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EC0E2CD">
      <w:pPr>
        <w:keepNext w:val="0"/>
        <w:keepLines w:val="0"/>
        <w:pageBreakBefore w:val="0"/>
        <w:kinsoku/>
        <w:overflowPunct/>
        <w:topLinePunct w:val="0"/>
        <w:bidi w:val="0"/>
        <w:snapToGrid/>
        <w:spacing w:line="560" w:lineRule="exact"/>
        <w:ind w:firstLine="643" w:firstLineChars="200"/>
        <w:textAlignment w:val="auto"/>
        <w:rPr>
          <w:rFonts w:hint="eastAsia" w:ascii="仿宋_GB2312" w:hAnsi="仿宋_GB2312" w:eastAsia="仿宋_GB2312" w:cs="仿宋_GB2312"/>
          <w:b/>
          <w:color w:val="auto"/>
          <w:sz w:val="32"/>
          <w:szCs w:val="28"/>
          <w:highlight w:val="none"/>
        </w:rPr>
      </w:pPr>
      <w:r>
        <w:rPr>
          <w:rFonts w:hint="eastAsia" w:ascii="仿宋_GB2312" w:hAnsi="仿宋_GB2312" w:eastAsia="仿宋_GB2312" w:cs="仿宋_GB2312"/>
          <w:b/>
          <w:color w:val="auto"/>
          <w:sz w:val="32"/>
          <w:szCs w:val="28"/>
          <w:highlight w:val="none"/>
        </w:rPr>
        <w:t>（二）组织开展标准宣贯培训</w:t>
      </w:r>
    </w:p>
    <w:p w14:paraId="38C99CE1">
      <w:pPr>
        <w:keepNext w:val="0"/>
        <w:keepLines w:val="0"/>
        <w:pageBreakBefore w:val="0"/>
        <w:kinsoku/>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29942561">
      <w:pPr>
        <w:keepNext w:val="0"/>
        <w:keepLines w:val="0"/>
        <w:pageBreakBefore w:val="0"/>
        <w:kinsoku/>
        <w:overflowPunct/>
        <w:topLinePunct w:val="0"/>
        <w:bidi w:val="0"/>
        <w:snapToGrid/>
        <w:spacing w:line="560" w:lineRule="exact"/>
        <w:ind w:firstLine="643" w:firstLineChars="200"/>
        <w:textAlignment w:val="auto"/>
        <w:rPr>
          <w:rFonts w:hint="eastAsia" w:ascii="仿宋_GB2312" w:hAnsi="仿宋_GB2312" w:eastAsia="仿宋_GB2312" w:cs="仿宋_GB2312"/>
          <w:b/>
          <w:color w:val="auto"/>
          <w:sz w:val="32"/>
          <w:szCs w:val="28"/>
          <w:highlight w:val="none"/>
        </w:rPr>
      </w:pPr>
      <w:r>
        <w:rPr>
          <w:rFonts w:hint="eastAsia" w:ascii="仿宋_GB2312" w:hAnsi="仿宋_GB2312" w:eastAsia="仿宋_GB2312" w:cs="仿宋_GB2312"/>
          <w:b/>
          <w:color w:val="auto"/>
          <w:sz w:val="32"/>
          <w:szCs w:val="28"/>
          <w:highlight w:val="none"/>
        </w:rPr>
        <w:t>（三）开展标准实施交流会，收集标准实施反馈信息</w:t>
      </w:r>
    </w:p>
    <w:p w14:paraId="336AB236">
      <w:pPr>
        <w:keepNext w:val="0"/>
        <w:keepLines w:val="0"/>
        <w:pageBreakBefore w:val="0"/>
        <w:kinsoku/>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标准起草小组深入各市县相关机构、单位组织技术人员召开标准实施交流会，听取标准实施过程中存在的问题并做好记录和解答，对存在的问题组织专家团队进行研讨，为标准的复审修订做准备。</w:t>
      </w:r>
    </w:p>
    <w:p w14:paraId="1F438F65">
      <w:pPr>
        <w:keepNext w:val="0"/>
        <w:keepLines w:val="0"/>
        <w:pageBreakBefore w:val="0"/>
        <w:kinsoku/>
        <w:overflowPunct/>
        <w:topLinePunct w:val="0"/>
        <w:bidi w:val="0"/>
        <w:snapToGrid/>
        <w:spacing w:line="560" w:lineRule="exact"/>
        <w:ind w:firstLine="643" w:firstLineChars="200"/>
        <w:textAlignment w:val="auto"/>
        <w:rPr>
          <w:rFonts w:hint="eastAsia" w:ascii="仿宋_GB2312" w:hAnsi="仿宋_GB2312" w:eastAsia="仿宋_GB2312" w:cs="仿宋_GB2312"/>
          <w:b/>
          <w:color w:val="auto"/>
          <w:sz w:val="32"/>
          <w:szCs w:val="28"/>
          <w:highlight w:val="none"/>
        </w:rPr>
      </w:pPr>
      <w:r>
        <w:rPr>
          <w:rFonts w:hint="eastAsia" w:ascii="仿宋_GB2312" w:hAnsi="仿宋_GB2312" w:eastAsia="仿宋_GB2312" w:cs="仿宋_GB2312"/>
          <w:b/>
          <w:color w:val="auto"/>
          <w:sz w:val="32"/>
          <w:szCs w:val="28"/>
          <w:highlight w:val="none"/>
        </w:rPr>
        <w:t>（四）开展标准实施效果评估</w:t>
      </w:r>
    </w:p>
    <w:p w14:paraId="7DE0DDFE">
      <w:pPr>
        <w:keepNext w:val="0"/>
        <w:keepLines w:val="0"/>
        <w:pageBreakBefore w:val="0"/>
        <w:kinsoku/>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标准实施满2年，每年标准宣贯工作组采取网络调查、问卷调查、实地调研、召开座谈会或论证会、专家咨询等方式开展标准实施效果评估，并形成标准实施效果评估报告，为标准的复审修订做准备。</w:t>
      </w:r>
    </w:p>
    <w:p w14:paraId="36B16457">
      <w:pPr>
        <w:keepNext w:val="0"/>
        <w:keepLines w:val="0"/>
        <w:pageBreakBefore w:val="0"/>
        <w:kinsoku/>
        <w:overflowPunct/>
        <w:topLinePunct w:val="0"/>
        <w:autoSpaceDE w:val="0"/>
        <w:autoSpaceDN w:val="0"/>
        <w:bidi w:val="0"/>
        <w:adjustRightInd w:val="0"/>
        <w:snapToGrid/>
        <w:spacing w:line="560" w:lineRule="exact"/>
        <w:ind w:firstLine="643" w:firstLineChars="200"/>
        <w:jc w:val="left"/>
        <w:textAlignment w:val="auto"/>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八、其他应当说明的事项</w:t>
      </w:r>
    </w:p>
    <w:p w14:paraId="23A53EB2">
      <w:pPr>
        <w:keepNext w:val="0"/>
        <w:keepLines w:val="0"/>
        <w:pageBreakBefore w:val="0"/>
        <w:kinsoku/>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无。</w:t>
      </w:r>
    </w:p>
    <w:p w14:paraId="1562F1AF">
      <w:pPr>
        <w:keepNext w:val="0"/>
        <w:keepLines w:val="0"/>
        <w:pageBreakBefore w:val="0"/>
        <w:kinsoku/>
        <w:overflowPunct/>
        <w:topLinePunct w:val="0"/>
        <w:bidi w:val="0"/>
        <w:snapToGrid/>
        <w:spacing w:line="560" w:lineRule="exact"/>
        <w:textAlignment w:val="auto"/>
        <w:rPr>
          <w:rFonts w:hint="eastAsia" w:ascii="仿宋_GB2312" w:hAnsi="仿宋_GB2312" w:eastAsia="仿宋_GB2312" w:cs="仿宋_GB2312"/>
          <w:bCs/>
          <w:color w:val="auto"/>
          <w:sz w:val="36"/>
          <w:szCs w:val="32"/>
          <w:highlight w:val="none"/>
        </w:rPr>
      </w:pPr>
    </w:p>
    <w:p w14:paraId="0FDE70D6">
      <w:pPr>
        <w:keepNext w:val="0"/>
        <w:keepLines w:val="0"/>
        <w:pageBreakBefore w:val="0"/>
        <w:kinsoku/>
        <w:overflowPunct/>
        <w:topLinePunct w:val="0"/>
        <w:bidi w:val="0"/>
        <w:snapToGrid/>
        <w:spacing w:line="560" w:lineRule="exact"/>
        <w:textAlignment w:val="auto"/>
        <w:rPr>
          <w:rFonts w:hint="eastAsia" w:ascii="仿宋_GB2312" w:hAnsi="仿宋_GB2312" w:eastAsia="仿宋_GB2312" w:cs="仿宋_GB2312"/>
          <w:bCs/>
          <w:color w:val="auto"/>
          <w:sz w:val="36"/>
          <w:szCs w:val="32"/>
          <w:highlight w:val="none"/>
        </w:rPr>
      </w:pPr>
    </w:p>
    <w:p w14:paraId="363246C0">
      <w:pPr>
        <w:keepNext w:val="0"/>
        <w:keepLines w:val="0"/>
        <w:pageBreakBefore w:val="0"/>
        <w:kinsoku/>
        <w:wordWrap w:val="0"/>
        <w:overflowPunct/>
        <w:topLinePunct w:val="0"/>
        <w:bidi w:val="0"/>
        <w:snapToGrid/>
        <w:spacing w:line="560" w:lineRule="exact"/>
        <w:jc w:val="right"/>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团体标准《糖料蔗规模种植高效高产全程机械化</w:t>
      </w:r>
    </w:p>
    <w:p w14:paraId="0CAECE48">
      <w:pPr>
        <w:keepNext w:val="0"/>
        <w:keepLines w:val="0"/>
        <w:pageBreakBefore w:val="0"/>
        <w:kinsoku/>
        <w:wordWrap w:val="0"/>
        <w:overflowPunct/>
        <w:topLinePunct w:val="0"/>
        <w:bidi w:val="0"/>
        <w:snapToGrid/>
        <w:spacing w:line="560" w:lineRule="exact"/>
        <w:jc w:val="right"/>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生产技术规程》标准编制工作组</w:t>
      </w:r>
    </w:p>
    <w:p w14:paraId="5D78D768">
      <w:pPr>
        <w:keepNext w:val="0"/>
        <w:keepLines w:val="0"/>
        <w:pageBreakBefore w:val="0"/>
        <w:kinsoku/>
        <w:wordWrap w:val="0"/>
        <w:overflowPunct/>
        <w:topLinePunct w:val="0"/>
        <w:bidi w:val="0"/>
        <w:snapToGrid/>
        <w:spacing w:line="560" w:lineRule="exact"/>
        <w:jc w:val="right"/>
        <w:textAlignment w:val="auto"/>
        <w:rPr>
          <w:rFonts w:hint="eastAsia" w:ascii="仿宋_GB2312" w:hAnsi="仿宋_GB2312" w:eastAsia="仿宋_GB2312" w:cs="仿宋_GB2312"/>
          <w:color w:val="auto"/>
          <w:sz w:val="32"/>
          <w:szCs w:val="28"/>
          <w:highlight w:val="none"/>
        </w:rPr>
      </w:pPr>
      <w:r>
        <w:rPr>
          <w:rFonts w:hint="eastAsia" w:ascii="仿宋_GB2312" w:hAnsi="仿宋_GB2312" w:eastAsia="仿宋_GB2312" w:cs="仿宋_GB2312"/>
          <w:color w:val="auto"/>
          <w:sz w:val="32"/>
          <w:szCs w:val="28"/>
          <w:highlight w:val="none"/>
        </w:rPr>
        <w:t>20</w:t>
      </w:r>
      <w:r>
        <w:rPr>
          <w:rFonts w:hint="eastAsia" w:ascii="仿宋_GB2312" w:hAnsi="仿宋_GB2312" w:cs="仿宋_GB2312"/>
          <w:color w:val="auto"/>
          <w:sz w:val="32"/>
          <w:szCs w:val="28"/>
          <w:highlight w:val="none"/>
          <w:lang w:val="en-US" w:eastAsia="zh-CN"/>
        </w:rPr>
        <w:t>26</w:t>
      </w:r>
      <w:r>
        <w:rPr>
          <w:rFonts w:hint="eastAsia" w:ascii="仿宋_GB2312" w:hAnsi="仿宋_GB2312" w:eastAsia="仿宋_GB2312" w:cs="仿宋_GB2312"/>
          <w:color w:val="auto"/>
          <w:sz w:val="32"/>
          <w:szCs w:val="28"/>
          <w:highlight w:val="none"/>
        </w:rPr>
        <w:t>年</w:t>
      </w:r>
      <w:r>
        <w:rPr>
          <w:rFonts w:hint="eastAsia" w:ascii="仿宋_GB2312" w:hAnsi="仿宋_GB2312" w:cs="仿宋_GB2312"/>
          <w:color w:val="auto"/>
          <w:sz w:val="32"/>
          <w:szCs w:val="28"/>
          <w:highlight w:val="none"/>
          <w:lang w:val="en-US" w:eastAsia="zh-CN"/>
        </w:rPr>
        <w:t>3</w:t>
      </w:r>
      <w:r>
        <w:rPr>
          <w:rFonts w:hint="eastAsia" w:ascii="仿宋_GB2312" w:hAnsi="仿宋_GB2312" w:eastAsia="仿宋_GB2312" w:cs="仿宋_GB2312"/>
          <w:color w:val="auto"/>
          <w:sz w:val="32"/>
          <w:szCs w:val="28"/>
          <w:highlight w:val="none"/>
        </w:rPr>
        <w:t>月</w:t>
      </w:r>
      <w:r>
        <w:rPr>
          <w:rFonts w:hint="eastAsia" w:ascii="仿宋_GB2312" w:hAnsi="仿宋_GB2312" w:cs="仿宋_GB2312"/>
          <w:color w:val="auto"/>
          <w:sz w:val="32"/>
          <w:szCs w:val="28"/>
          <w:highlight w:val="none"/>
          <w:lang w:val="en-US" w:eastAsia="zh-CN"/>
        </w:rPr>
        <w:t>16</w:t>
      </w:r>
      <w:r>
        <w:rPr>
          <w:rFonts w:hint="eastAsia" w:ascii="仿宋_GB2312" w:hAnsi="仿宋_GB2312" w:eastAsia="仿宋_GB2312" w:cs="仿宋_GB2312"/>
          <w:color w:val="auto"/>
          <w:sz w:val="32"/>
          <w:szCs w:val="28"/>
          <w:highlight w:val="none"/>
        </w:rPr>
        <w:t xml:space="preserve">日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0"/>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docPartObj>
        <w:docPartGallery w:val="autotext"/>
      </w:docPartObj>
    </w:sdtPr>
    <w:sdtContent>
      <w:p w14:paraId="2BE1229F">
        <w:pPr>
          <w:pStyle w:val="3"/>
          <w:jc w:val="center"/>
        </w:pPr>
        <w:r>
          <w:fldChar w:fldCharType="begin"/>
        </w:r>
        <w:r>
          <w:instrText xml:space="preserve">PAGE   \* MERGEFORMAT</w:instrText>
        </w:r>
        <w:r>
          <w:fldChar w:fldCharType="separate"/>
        </w:r>
        <w:r>
          <w:rPr>
            <w:lang w:val="zh-CN"/>
          </w:rPr>
          <w:t>7</w:t>
        </w:r>
        <w:r>
          <w:fldChar w:fldCharType="end"/>
        </w:r>
      </w:p>
    </w:sdtContent>
  </w:sdt>
  <w:p w14:paraId="76F9E80E">
    <w:pPr>
      <w:pStyle w:val="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1"/>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5"/>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4"/>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2"/>
      <w:suff w:val="space"/>
      <w:lvlText w:val="%1"/>
      <w:lvlJc w:val="left"/>
      <w:pPr>
        <w:ind w:left="623" w:hanging="425"/>
      </w:pPr>
      <w:rPr>
        <w:rFonts w:hint="eastAsia"/>
      </w:rPr>
    </w:lvl>
    <w:lvl w:ilvl="1" w:tentative="0">
      <w:start w:val="1"/>
      <w:numFmt w:val="decimal"/>
      <w:pStyle w:val="23"/>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557C2AF5"/>
    <w:multiLevelType w:val="multilevel"/>
    <w:tmpl w:val="557C2AF5"/>
    <w:lvl w:ilvl="0" w:tentative="0">
      <w:start w:val="1"/>
      <w:numFmt w:val="decimal"/>
      <w:pStyle w:val="14"/>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29"/>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7">
    <w:nsid w:val="646260FA"/>
    <w:multiLevelType w:val="multilevel"/>
    <w:tmpl w:val="646260FA"/>
    <w:lvl w:ilvl="0" w:tentative="0">
      <w:start w:val="1"/>
      <w:numFmt w:val="decimal"/>
      <w:pStyle w:val="13"/>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7"/>
  </w:num>
  <w:num w:numId="2">
    <w:abstractNumId w:val="5"/>
  </w:num>
  <w:num w:numId="3">
    <w:abstractNumId w:val="3"/>
  </w:num>
  <w:num w:numId="4">
    <w:abstractNumId w:val="0"/>
  </w:num>
  <w:num w:numId="5">
    <w:abstractNumId w:val="4"/>
  </w:num>
  <w:num w:numId="6">
    <w:abstractNumId w:val="2"/>
  </w:num>
  <w:num w:numId="7">
    <w:abstractNumId w:val="1"/>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3C6D"/>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CE5D1C"/>
    <w:rsid w:val="03247659"/>
    <w:rsid w:val="039E595D"/>
    <w:rsid w:val="045B1761"/>
    <w:rsid w:val="04C9670A"/>
    <w:rsid w:val="050F73C3"/>
    <w:rsid w:val="057448C8"/>
    <w:rsid w:val="05D76C05"/>
    <w:rsid w:val="066466EB"/>
    <w:rsid w:val="070F07F6"/>
    <w:rsid w:val="077A1F3E"/>
    <w:rsid w:val="08083403"/>
    <w:rsid w:val="08444A26"/>
    <w:rsid w:val="09B1706F"/>
    <w:rsid w:val="09BE5E2A"/>
    <w:rsid w:val="0A091F73"/>
    <w:rsid w:val="0A8504E9"/>
    <w:rsid w:val="0A9538B6"/>
    <w:rsid w:val="0AB3623A"/>
    <w:rsid w:val="0B13248D"/>
    <w:rsid w:val="0B470389"/>
    <w:rsid w:val="0B8645C7"/>
    <w:rsid w:val="0C074703"/>
    <w:rsid w:val="0C0A3890"/>
    <w:rsid w:val="0D660F9A"/>
    <w:rsid w:val="0D92619C"/>
    <w:rsid w:val="0E060087"/>
    <w:rsid w:val="0E097B78"/>
    <w:rsid w:val="0E0B38F0"/>
    <w:rsid w:val="0E4C5F96"/>
    <w:rsid w:val="0E76520D"/>
    <w:rsid w:val="0EA855E3"/>
    <w:rsid w:val="0EB020D5"/>
    <w:rsid w:val="0F412CA9"/>
    <w:rsid w:val="0FD566D2"/>
    <w:rsid w:val="10635140"/>
    <w:rsid w:val="11BA18B5"/>
    <w:rsid w:val="125A3098"/>
    <w:rsid w:val="129D6F8B"/>
    <w:rsid w:val="12B26A30"/>
    <w:rsid w:val="13833F28"/>
    <w:rsid w:val="13B2170D"/>
    <w:rsid w:val="13B97480"/>
    <w:rsid w:val="14034EB5"/>
    <w:rsid w:val="14870494"/>
    <w:rsid w:val="14D909D2"/>
    <w:rsid w:val="15085E8C"/>
    <w:rsid w:val="15174F60"/>
    <w:rsid w:val="1556095A"/>
    <w:rsid w:val="15916DD0"/>
    <w:rsid w:val="15D13671"/>
    <w:rsid w:val="167D7F24"/>
    <w:rsid w:val="16BC7E7D"/>
    <w:rsid w:val="171323D2"/>
    <w:rsid w:val="17306AB5"/>
    <w:rsid w:val="17373F64"/>
    <w:rsid w:val="173E4D36"/>
    <w:rsid w:val="18153CE9"/>
    <w:rsid w:val="183B1275"/>
    <w:rsid w:val="188E5849"/>
    <w:rsid w:val="18BF5A03"/>
    <w:rsid w:val="19A054D6"/>
    <w:rsid w:val="1A134258"/>
    <w:rsid w:val="1B0717C8"/>
    <w:rsid w:val="1B745C58"/>
    <w:rsid w:val="1BE33681"/>
    <w:rsid w:val="1D5A6425"/>
    <w:rsid w:val="1F38206B"/>
    <w:rsid w:val="1FE8712A"/>
    <w:rsid w:val="20126E55"/>
    <w:rsid w:val="20653288"/>
    <w:rsid w:val="2127683B"/>
    <w:rsid w:val="217F6677"/>
    <w:rsid w:val="21862EC6"/>
    <w:rsid w:val="224A0233"/>
    <w:rsid w:val="237A2B2A"/>
    <w:rsid w:val="240115C5"/>
    <w:rsid w:val="24D10F97"/>
    <w:rsid w:val="25162E4E"/>
    <w:rsid w:val="254774AC"/>
    <w:rsid w:val="25A154A2"/>
    <w:rsid w:val="26A93DBD"/>
    <w:rsid w:val="293B3E77"/>
    <w:rsid w:val="29756479"/>
    <w:rsid w:val="2A16511E"/>
    <w:rsid w:val="2B3B74A1"/>
    <w:rsid w:val="2BD3734B"/>
    <w:rsid w:val="2BE617CC"/>
    <w:rsid w:val="2C4F36F5"/>
    <w:rsid w:val="2C9E1BF4"/>
    <w:rsid w:val="2D287BC3"/>
    <w:rsid w:val="2D5F22BD"/>
    <w:rsid w:val="2E497DF1"/>
    <w:rsid w:val="2EA65243"/>
    <w:rsid w:val="2F1B31B1"/>
    <w:rsid w:val="2F226F15"/>
    <w:rsid w:val="2FF37D11"/>
    <w:rsid w:val="3013049D"/>
    <w:rsid w:val="32427031"/>
    <w:rsid w:val="32DD144F"/>
    <w:rsid w:val="32EC1EA1"/>
    <w:rsid w:val="332928F2"/>
    <w:rsid w:val="332C3D99"/>
    <w:rsid w:val="33B62D77"/>
    <w:rsid w:val="34C71A6F"/>
    <w:rsid w:val="35C27393"/>
    <w:rsid w:val="35F40F8A"/>
    <w:rsid w:val="361A18E7"/>
    <w:rsid w:val="365875C5"/>
    <w:rsid w:val="3680281D"/>
    <w:rsid w:val="37166CDE"/>
    <w:rsid w:val="374B4BD9"/>
    <w:rsid w:val="38AF73EA"/>
    <w:rsid w:val="39356049"/>
    <w:rsid w:val="39974106"/>
    <w:rsid w:val="3A0472C2"/>
    <w:rsid w:val="3B4E60E4"/>
    <w:rsid w:val="3BC259C5"/>
    <w:rsid w:val="3BC466D9"/>
    <w:rsid w:val="3BEB698B"/>
    <w:rsid w:val="3BFE2074"/>
    <w:rsid w:val="3CAD1E92"/>
    <w:rsid w:val="3D08531B"/>
    <w:rsid w:val="3D453E79"/>
    <w:rsid w:val="3D703E5A"/>
    <w:rsid w:val="3D791D75"/>
    <w:rsid w:val="3D793B23"/>
    <w:rsid w:val="3DB669EF"/>
    <w:rsid w:val="3F1D63BC"/>
    <w:rsid w:val="3F204B9E"/>
    <w:rsid w:val="3F8C7277"/>
    <w:rsid w:val="3FA0222F"/>
    <w:rsid w:val="3FDA4D4C"/>
    <w:rsid w:val="401D22D1"/>
    <w:rsid w:val="401F09B1"/>
    <w:rsid w:val="404448BC"/>
    <w:rsid w:val="40EA7211"/>
    <w:rsid w:val="4148218A"/>
    <w:rsid w:val="41BC1DE0"/>
    <w:rsid w:val="42D769B6"/>
    <w:rsid w:val="43803E5D"/>
    <w:rsid w:val="43A35D9D"/>
    <w:rsid w:val="44022AC4"/>
    <w:rsid w:val="440F6F8F"/>
    <w:rsid w:val="44F600D3"/>
    <w:rsid w:val="450A60D4"/>
    <w:rsid w:val="45617704"/>
    <w:rsid w:val="45DD7344"/>
    <w:rsid w:val="464E3D9E"/>
    <w:rsid w:val="470923BB"/>
    <w:rsid w:val="48B048DB"/>
    <w:rsid w:val="49373210"/>
    <w:rsid w:val="497955D6"/>
    <w:rsid w:val="49A63EF1"/>
    <w:rsid w:val="49E52C6C"/>
    <w:rsid w:val="4B1C090F"/>
    <w:rsid w:val="4B83273C"/>
    <w:rsid w:val="4B8C0594"/>
    <w:rsid w:val="4C0B44E0"/>
    <w:rsid w:val="4C0F7B1B"/>
    <w:rsid w:val="4C60482B"/>
    <w:rsid w:val="4CFE380A"/>
    <w:rsid w:val="4D2770F7"/>
    <w:rsid w:val="4D862B8C"/>
    <w:rsid w:val="4D8A7F72"/>
    <w:rsid w:val="4D9D560B"/>
    <w:rsid w:val="4DFF35F5"/>
    <w:rsid w:val="4E0C2119"/>
    <w:rsid w:val="4E3C4E24"/>
    <w:rsid w:val="4E791BD4"/>
    <w:rsid w:val="4EF47599"/>
    <w:rsid w:val="4F36622A"/>
    <w:rsid w:val="4FE3578A"/>
    <w:rsid w:val="50A15412"/>
    <w:rsid w:val="50D91050"/>
    <w:rsid w:val="50F33C24"/>
    <w:rsid w:val="51B51D64"/>
    <w:rsid w:val="51D535C6"/>
    <w:rsid w:val="52132340"/>
    <w:rsid w:val="523F1387"/>
    <w:rsid w:val="52F06583"/>
    <w:rsid w:val="538B4884"/>
    <w:rsid w:val="53A616BE"/>
    <w:rsid w:val="540B1521"/>
    <w:rsid w:val="5461351A"/>
    <w:rsid w:val="54CD2C7A"/>
    <w:rsid w:val="54E12281"/>
    <w:rsid w:val="54E94B5B"/>
    <w:rsid w:val="552A1E7A"/>
    <w:rsid w:val="55661639"/>
    <w:rsid w:val="55761622"/>
    <w:rsid w:val="562E7748"/>
    <w:rsid w:val="56764C4B"/>
    <w:rsid w:val="567C4958"/>
    <w:rsid w:val="56D55E16"/>
    <w:rsid w:val="571C1C97"/>
    <w:rsid w:val="57802226"/>
    <w:rsid w:val="57C1754D"/>
    <w:rsid w:val="58FB1ADD"/>
    <w:rsid w:val="5A932E77"/>
    <w:rsid w:val="5B57329D"/>
    <w:rsid w:val="5BB64468"/>
    <w:rsid w:val="5BD424E2"/>
    <w:rsid w:val="5BD857FA"/>
    <w:rsid w:val="5C080481"/>
    <w:rsid w:val="5D3C099D"/>
    <w:rsid w:val="5D7F6ADB"/>
    <w:rsid w:val="5DCF5727"/>
    <w:rsid w:val="5E202145"/>
    <w:rsid w:val="5E541D16"/>
    <w:rsid w:val="5F5C0E82"/>
    <w:rsid w:val="5F621BCD"/>
    <w:rsid w:val="5F9B2615"/>
    <w:rsid w:val="60246944"/>
    <w:rsid w:val="6031647B"/>
    <w:rsid w:val="61963763"/>
    <w:rsid w:val="619C7C5C"/>
    <w:rsid w:val="61B32A36"/>
    <w:rsid w:val="61BF2475"/>
    <w:rsid w:val="629B43B7"/>
    <w:rsid w:val="62F74A7A"/>
    <w:rsid w:val="631F0B45"/>
    <w:rsid w:val="63A23524"/>
    <w:rsid w:val="642B176B"/>
    <w:rsid w:val="655645C6"/>
    <w:rsid w:val="65DB2380"/>
    <w:rsid w:val="66165DBD"/>
    <w:rsid w:val="6655487D"/>
    <w:rsid w:val="668E2223"/>
    <w:rsid w:val="67EC2600"/>
    <w:rsid w:val="683026D9"/>
    <w:rsid w:val="689A6DDC"/>
    <w:rsid w:val="693F388B"/>
    <w:rsid w:val="69807E63"/>
    <w:rsid w:val="6ABB5A61"/>
    <w:rsid w:val="6ACA3A8C"/>
    <w:rsid w:val="6C3F4006"/>
    <w:rsid w:val="6CD2026E"/>
    <w:rsid w:val="6DA06D26"/>
    <w:rsid w:val="6DBA21A1"/>
    <w:rsid w:val="6DD4077E"/>
    <w:rsid w:val="6F775864"/>
    <w:rsid w:val="6FD0517F"/>
    <w:rsid w:val="70343755"/>
    <w:rsid w:val="70624A53"/>
    <w:rsid w:val="70756248"/>
    <w:rsid w:val="70862203"/>
    <w:rsid w:val="70C1323B"/>
    <w:rsid w:val="70F21646"/>
    <w:rsid w:val="72275320"/>
    <w:rsid w:val="72F33520"/>
    <w:rsid w:val="73731F46"/>
    <w:rsid w:val="7400407A"/>
    <w:rsid w:val="760A11E0"/>
    <w:rsid w:val="775C056B"/>
    <w:rsid w:val="78AF3D07"/>
    <w:rsid w:val="78B638A1"/>
    <w:rsid w:val="792E51E6"/>
    <w:rsid w:val="793611ED"/>
    <w:rsid w:val="79D02741"/>
    <w:rsid w:val="7A8F6158"/>
    <w:rsid w:val="7AF5051C"/>
    <w:rsid w:val="7B124BDA"/>
    <w:rsid w:val="7BBA680A"/>
    <w:rsid w:val="7BE826AE"/>
    <w:rsid w:val="7CCF532E"/>
    <w:rsid w:val="7D1312C2"/>
    <w:rsid w:val="7D1E37C3"/>
    <w:rsid w:val="7D612E2E"/>
    <w:rsid w:val="7DD50326"/>
    <w:rsid w:val="7E00338F"/>
    <w:rsid w:val="7E865AC4"/>
    <w:rsid w:val="7E8835EA"/>
    <w:rsid w:val="7ECB1EA2"/>
    <w:rsid w:val="7EEA1BAF"/>
    <w:rsid w:val="7EFC5B0D"/>
    <w:rsid w:val="7FB977D3"/>
    <w:rsid w:val="7FD17D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2">
    <w:name w:val="Balloon Text"/>
    <w:basedOn w:val="1"/>
    <w:link w:val="36"/>
    <w:semiHidden/>
    <w:unhideWhenUsed/>
    <w:qFormat/>
    <w:uiPriority w:val="0"/>
    <w:rPr>
      <w:sz w:val="18"/>
      <w:szCs w:val="18"/>
    </w:rPr>
  </w:style>
  <w:style w:type="paragraph" w:styleId="3">
    <w:name w:val="footer"/>
    <w:basedOn w:val="1"/>
    <w:link w:val="28"/>
    <w:qFormat/>
    <w:uiPriority w:val="99"/>
    <w:pPr>
      <w:tabs>
        <w:tab w:val="center" w:pos="4153"/>
        <w:tab w:val="right" w:pos="8306"/>
      </w:tabs>
      <w:snapToGrid w:val="0"/>
      <w:jc w:val="left"/>
    </w:pPr>
    <w:rPr>
      <w:sz w:val="18"/>
      <w:szCs w:val="18"/>
    </w:rPr>
  </w:style>
  <w:style w:type="paragraph" w:styleId="4">
    <w:name w:val="header"/>
    <w:basedOn w:val="1"/>
    <w:link w:val="27"/>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99"/>
    <w:pPr>
      <w:spacing w:before="100" w:beforeAutospacing="1" w:after="100" w:afterAutospacing="1"/>
      <w:jc w:val="left"/>
    </w:pPr>
    <w:rPr>
      <w:kern w:val="0"/>
      <w:sz w:val="24"/>
    </w:rPr>
  </w:style>
  <w:style w:type="table" w:styleId="7">
    <w:name w:val="Table Grid"/>
    <w:basedOn w:val="6"/>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
    <w:name w:val="Strong"/>
    <w:basedOn w:val="8"/>
    <w:qFormat/>
    <w:uiPriority w:val="0"/>
    <w:rPr>
      <w:b/>
    </w:rPr>
  </w:style>
  <w:style w:type="character" w:styleId="10">
    <w:name w:val="Hyperlink"/>
    <w:basedOn w:val="8"/>
    <w:unhideWhenUsed/>
    <w:qFormat/>
    <w:uiPriority w:val="99"/>
    <w:rPr>
      <w:color w:val="0000FF"/>
      <w:u w:val="single"/>
    </w:rPr>
  </w:style>
  <w:style w:type="paragraph" w:customStyle="1" w:styleId="11">
    <w:name w:val="段"/>
    <w:link w:val="26"/>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2">
    <w:name w:val="正文表标题"/>
    <w:next w:val="11"/>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3">
    <w:name w:val="正文图标题"/>
    <w:next w:val="11"/>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4">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5">
    <w:name w:val="一级条标题"/>
    <w:next w:val="11"/>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1"/>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1"/>
    <w:qFormat/>
    <w:uiPriority w:val="0"/>
    <w:pPr>
      <w:numPr>
        <w:ilvl w:val="2"/>
      </w:numPr>
      <w:spacing w:before="50" w:after="50"/>
      <w:outlineLvl w:val="3"/>
    </w:pPr>
  </w:style>
  <w:style w:type="paragraph" w:customStyle="1" w:styleId="18">
    <w:name w:val="三级条标题"/>
    <w:basedOn w:val="17"/>
    <w:next w:val="11"/>
    <w:qFormat/>
    <w:uiPriority w:val="0"/>
    <w:pPr>
      <w:numPr>
        <w:ilvl w:val="3"/>
      </w:numPr>
      <w:outlineLvl w:val="4"/>
    </w:pPr>
  </w:style>
  <w:style w:type="paragraph" w:customStyle="1" w:styleId="19">
    <w:name w:val="四级条标题"/>
    <w:basedOn w:val="18"/>
    <w:next w:val="11"/>
    <w:qFormat/>
    <w:uiPriority w:val="0"/>
    <w:pPr>
      <w:numPr>
        <w:ilvl w:val="4"/>
      </w:numPr>
      <w:outlineLvl w:val="5"/>
    </w:pPr>
  </w:style>
  <w:style w:type="paragraph" w:customStyle="1" w:styleId="20">
    <w:name w:val="五级条标题"/>
    <w:basedOn w:val="19"/>
    <w:next w:val="11"/>
    <w:qFormat/>
    <w:uiPriority w:val="0"/>
    <w:pPr>
      <w:numPr>
        <w:ilvl w:val="5"/>
      </w:numPr>
      <w:outlineLvl w:val="6"/>
    </w:pPr>
  </w:style>
  <w:style w:type="paragraph" w:customStyle="1" w:styleId="21">
    <w:name w:val="注："/>
    <w:next w:val="11"/>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2">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3">
    <w:name w:val="附录图标题"/>
    <w:basedOn w:val="1"/>
    <w:next w:val="11"/>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4">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5">
    <w:name w:val="图表脚注说明"/>
    <w:basedOn w:val="1"/>
    <w:qFormat/>
    <w:uiPriority w:val="0"/>
    <w:pPr>
      <w:numPr>
        <w:ilvl w:val="0"/>
        <w:numId w:val="7"/>
      </w:numPr>
    </w:pPr>
    <w:rPr>
      <w:rFonts w:ascii="宋体"/>
      <w:sz w:val="18"/>
      <w:szCs w:val="18"/>
    </w:rPr>
  </w:style>
  <w:style w:type="character" w:customStyle="1" w:styleId="26">
    <w:name w:val="段 Char"/>
    <w:basedOn w:val="8"/>
    <w:link w:val="11"/>
    <w:qFormat/>
    <w:uiPriority w:val="0"/>
    <w:rPr>
      <w:rFonts w:ascii="宋体"/>
      <w:sz w:val="21"/>
      <w:lang w:val="en-US" w:eastAsia="zh-CN" w:bidi="ar-SA"/>
    </w:rPr>
  </w:style>
  <w:style w:type="character" w:customStyle="1" w:styleId="27">
    <w:name w:val="页眉 字符"/>
    <w:basedOn w:val="8"/>
    <w:link w:val="4"/>
    <w:qFormat/>
    <w:uiPriority w:val="0"/>
    <w:rPr>
      <w:kern w:val="2"/>
      <w:sz w:val="18"/>
      <w:szCs w:val="18"/>
    </w:rPr>
  </w:style>
  <w:style w:type="character" w:customStyle="1" w:styleId="28">
    <w:name w:val="页脚 字符"/>
    <w:basedOn w:val="8"/>
    <w:link w:val="3"/>
    <w:qFormat/>
    <w:uiPriority w:val="99"/>
    <w:rPr>
      <w:kern w:val="2"/>
      <w:sz w:val="18"/>
      <w:szCs w:val="18"/>
    </w:rPr>
  </w:style>
  <w:style w:type="paragraph" w:customStyle="1" w:styleId="29">
    <w:name w:val="附录表标题"/>
    <w:basedOn w:val="1"/>
    <w:next w:val="11"/>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30">
    <w:name w:val="List Paragraph"/>
    <w:basedOn w:val="1"/>
    <w:unhideWhenUsed/>
    <w:qFormat/>
    <w:uiPriority w:val="34"/>
    <w:pPr>
      <w:ind w:firstLine="420" w:firstLineChars="200"/>
    </w:pPr>
  </w:style>
  <w:style w:type="paragraph" w:customStyle="1" w:styleId="31">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2">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3">
    <w:name w:val="发布"/>
    <w:qFormat/>
    <w:uiPriority w:val="0"/>
    <w:rPr>
      <w:rFonts w:ascii="黑体" w:eastAsia="黑体"/>
      <w:spacing w:val="22"/>
      <w:w w:val="100"/>
      <w:position w:val="3"/>
      <w:sz w:val="28"/>
    </w:rPr>
  </w:style>
  <w:style w:type="paragraph" w:customStyle="1" w:styleId="34">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5">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6">
    <w:name w:val="批注框文本 字符"/>
    <w:basedOn w:val="8"/>
    <w:link w:val="2"/>
    <w:semiHidden/>
    <w:qFormat/>
    <w:uiPriority w:val="0"/>
    <w:rPr>
      <w:rFonts w:ascii="Times New Roman" w:hAnsi="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WWW.YlmF.CoM</Company>
  <Pages>24</Pages>
  <Words>4999</Words>
  <Characters>5327</Characters>
  <Lines>2</Lines>
  <Paragraphs>5</Paragraphs>
  <TotalTime>8</TotalTime>
  <ScaleCrop>false</ScaleCrop>
  <LinksUpToDate>false</LinksUpToDate>
  <CharactersWithSpaces>5371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河中鱼</cp:lastModifiedBy>
  <cp:lastPrinted>2019-07-10T11:21:00Z</cp:lastPrinted>
  <dcterms:modified xsi:type="dcterms:W3CDTF">2026-03-19T10:31:25Z</dcterms:modified>
  <dc:title>广西地方标准《脱氢枞酸》（征求意见稿）</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484DF7F1BEB842158BCD0584349217B5</vt:lpwstr>
  </property>
  <property fmtid="{D5CDD505-2E9C-101B-9397-08002B2CF9AE}" pid="4" name="KSOTemplateDocerSaveRecord">
    <vt:lpwstr>eyJoZGlkIjoiYWU5ODIyNDQzMTFlYmNiMzlhMmFkNjExNWM2YjM4YTYiLCJ1c2VySWQiOiIxNjgzMDY0NzMzIn0=</vt:lpwstr>
  </property>
</Properties>
</file>